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pPr>
      <w:r w:rsidDel="00000000" w:rsidR="00000000" w:rsidRPr="00000000">
        <w:rPr>
          <w:rtl w:val="0"/>
        </w:rPr>
        <w:t xml:space="preserve">Press release, 2 August 2021</w:t>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jc w:val="center"/>
        <w:rPr>
          <w:b w:val="1"/>
          <w:sz w:val="36"/>
          <w:szCs w:val="36"/>
        </w:rPr>
      </w:pPr>
      <w:r w:rsidDel="00000000" w:rsidR="00000000" w:rsidRPr="00000000">
        <w:rPr>
          <w:b w:val="1"/>
          <w:sz w:val="36"/>
          <w:szCs w:val="36"/>
          <w:rtl w:val="0"/>
        </w:rPr>
        <w:t xml:space="preserve">Sinfonia Varsovia in France</w:t>
      </w:r>
    </w:p>
    <w:p w:rsidR="00000000" w:rsidDel="00000000" w:rsidP="00000000" w:rsidRDefault="00000000" w:rsidRPr="00000000" w14:paraId="00000004">
      <w:pPr>
        <w:jc w:val="center"/>
        <w:rPr>
          <w:b w:val="1"/>
          <w:sz w:val="32"/>
          <w:szCs w:val="32"/>
        </w:rPr>
      </w:pPr>
      <w:r w:rsidDel="00000000" w:rsidR="00000000" w:rsidRPr="00000000">
        <w:rPr>
          <w:b w:val="1"/>
          <w:sz w:val="32"/>
          <w:szCs w:val="32"/>
          <w:rtl w:val="0"/>
        </w:rPr>
        <w:t xml:space="preserve">41st edition of the International Piano Festival of</w:t>
        <w:br w:type="textWrapping"/>
        <w:t xml:space="preserve">La Roque d’Anthéron</w:t>
      </w:r>
    </w:p>
    <w:p w:rsidR="00000000" w:rsidDel="00000000" w:rsidP="00000000" w:rsidRDefault="00000000" w:rsidRPr="00000000" w14:paraId="00000005">
      <w:pPr>
        <w:jc w:val="center"/>
        <w:rPr>
          <w:b w:val="1"/>
          <w:sz w:val="28"/>
          <w:szCs w:val="28"/>
        </w:rPr>
      </w:pPr>
      <w:r w:rsidDel="00000000" w:rsidR="00000000" w:rsidRPr="00000000">
        <w:rPr>
          <w:b w:val="1"/>
          <w:sz w:val="28"/>
          <w:szCs w:val="28"/>
          <w:rtl w:val="0"/>
        </w:rPr>
        <w:t xml:space="preserve">6–9 August 2021</w:t>
      </w:r>
    </w:p>
    <w:p w:rsidR="00000000" w:rsidDel="00000000" w:rsidP="00000000" w:rsidRDefault="00000000" w:rsidRPr="00000000" w14:paraId="00000006">
      <w:pPr>
        <w:jc w:val="both"/>
        <w:rPr>
          <w:b w:val="1"/>
        </w:rPr>
      </w:pPr>
      <w:r w:rsidDel="00000000" w:rsidR="00000000" w:rsidRPr="00000000">
        <w:rPr>
          <w:rtl w:val="0"/>
        </w:rPr>
      </w:r>
    </w:p>
    <w:p w:rsidR="00000000" w:rsidDel="00000000" w:rsidP="00000000" w:rsidRDefault="00000000" w:rsidRPr="00000000" w14:paraId="00000007">
      <w:pPr>
        <w:jc w:val="both"/>
        <w:rPr>
          <w:b w:val="1"/>
        </w:rPr>
      </w:pPr>
      <w:r w:rsidDel="00000000" w:rsidR="00000000" w:rsidRPr="00000000">
        <w:rPr>
          <w:b w:val="1"/>
          <w:rtl w:val="0"/>
        </w:rPr>
        <w:t xml:space="preserve">Summer is always the peak season for Sinfonia Varsovia. Following a long-standing tradition, the orchestra will return to the renowned International Piano Festival of La Roque d’Anthéron in France. During the four evenings, the orchestra will join prominent conductors and soloists on the stage of a local amphitheater to perform pieces by Mozart, Shostakovich, and Saint-Saëns.</w:t>
      </w:r>
    </w:p>
    <w:p w:rsidR="00000000" w:rsidDel="00000000" w:rsidP="00000000" w:rsidRDefault="00000000" w:rsidRPr="00000000" w14:paraId="00000008">
      <w:pPr>
        <w:jc w:val="both"/>
        <w:rPr/>
      </w:pPr>
      <w:r w:rsidDel="00000000" w:rsidR="00000000" w:rsidRPr="00000000">
        <w:rPr>
          <w:rtl w:val="0"/>
        </w:rPr>
        <w:t xml:space="preserve">The Festival in La Roque-d'Anthéron, Provence, is regarded as one of the most important events of this kind in the world. Sinfonia Varsovia has made regular guest appearances at the Festival almost since its inception, sharing the stage with the most famous pianists of our time, such as Nelson Freire, Yulianna Avdeeva, and Nelson Goerner.</w:t>
      </w:r>
    </w:p>
    <w:p w:rsidR="00000000" w:rsidDel="00000000" w:rsidP="00000000" w:rsidRDefault="00000000" w:rsidRPr="00000000" w14:paraId="00000009">
      <w:pPr>
        <w:jc w:val="both"/>
        <w:rPr/>
      </w:pPr>
      <w:r w:rsidDel="00000000" w:rsidR="00000000" w:rsidRPr="00000000">
        <w:rPr>
          <w:rtl w:val="0"/>
        </w:rPr>
        <w:t xml:space="preserve">The repertoire of Sinfonia Varsovia’s events will be quintessentially Mozartian: we will hear Mozart’s six piano concertos (VII, X, XII, XX, XXI, XXIV), his </w:t>
      </w:r>
      <w:r w:rsidDel="00000000" w:rsidR="00000000" w:rsidRPr="00000000">
        <w:rPr>
          <w:i w:val="1"/>
          <w:rtl w:val="0"/>
        </w:rPr>
        <w:t xml:space="preserve">Quintet for piano and wind instruments</w:t>
      </w:r>
      <w:r w:rsidDel="00000000" w:rsidR="00000000" w:rsidRPr="00000000">
        <w:rPr>
          <w:rtl w:val="0"/>
        </w:rPr>
        <w:t xml:space="preserve">, as well as Camille Saint-Saëns's </w:t>
      </w:r>
      <w:r w:rsidDel="00000000" w:rsidR="00000000" w:rsidRPr="00000000">
        <w:rPr>
          <w:i w:val="1"/>
          <w:rtl w:val="0"/>
        </w:rPr>
        <w:t xml:space="preserve">Piano Concerto</w:t>
      </w:r>
      <w:r w:rsidDel="00000000" w:rsidR="00000000" w:rsidRPr="00000000">
        <w:rPr>
          <w:rtl w:val="0"/>
        </w:rPr>
        <w:t xml:space="preserve"> </w:t>
      </w:r>
      <w:r w:rsidDel="00000000" w:rsidR="00000000" w:rsidRPr="00000000">
        <w:rPr>
          <w:i w:val="1"/>
          <w:rtl w:val="0"/>
        </w:rPr>
        <w:t xml:space="preserve">No. 2</w:t>
      </w:r>
      <w:r w:rsidDel="00000000" w:rsidR="00000000" w:rsidRPr="00000000">
        <w:rPr>
          <w:rtl w:val="0"/>
        </w:rPr>
        <w:t xml:space="preserve"> in a version for chamber orchestra and Dmitri Shostakovich's </w:t>
      </w:r>
      <w:r w:rsidDel="00000000" w:rsidR="00000000" w:rsidRPr="00000000">
        <w:rPr>
          <w:i w:val="1"/>
          <w:rtl w:val="0"/>
        </w:rPr>
        <w:t xml:space="preserve">String Quartet No. 3</w:t>
      </w:r>
      <w:r w:rsidDel="00000000" w:rsidR="00000000" w:rsidRPr="00000000">
        <w:rPr>
          <w:rtl w:val="0"/>
        </w:rPr>
        <w:t xml:space="preserve"> transcribed for wind and string quintets.</w:t>
      </w:r>
    </w:p>
    <w:p w:rsidR="00000000" w:rsidDel="00000000" w:rsidP="00000000" w:rsidRDefault="00000000" w:rsidRPr="00000000" w14:paraId="0000000A">
      <w:pPr>
        <w:jc w:val="both"/>
        <w:rPr/>
      </w:pPr>
      <w:r w:rsidDel="00000000" w:rsidR="00000000" w:rsidRPr="00000000">
        <w:rPr>
          <w:rtl w:val="0"/>
        </w:rPr>
        <w:t xml:space="preserve">Florent Boffard, Claire Désert, Alexandre Kantorow, Marie-Ange Nguci, Anne Queffélec, and Emmanuel Strosser will be the soloists, with conductors Jean-Jacques Kantorow and Arie van Beek standing on the conductor’s podium.</w:t>
      </w:r>
    </w:p>
    <w:p w:rsidR="00000000" w:rsidDel="00000000" w:rsidP="00000000" w:rsidRDefault="00000000" w:rsidRPr="00000000" w14:paraId="0000000B">
      <w:pPr>
        <w:jc w:val="both"/>
        <w:rPr/>
      </w:pPr>
      <w:r w:rsidDel="00000000" w:rsidR="00000000" w:rsidRPr="00000000">
        <w:rPr>
          <w:rtl w:val="0"/>
        </w:rPr>
        <w:t xml:space="preserve">The concert will be held on 6 August and broadcast live by the France Musique radio station. For more information on the broadcast, please visit the radio's website: </w:t>
      </w:r>
      <w:hyperlink r:id="rId7">
        <w:r w:rsidDel="00000000" w:rsidR="00000000" w:rsidRPr="00000000">
          <w:rPr>
            <w:color w:val="0563c1"/>
            <w:u w:val="single"/>
            <w:rtl w:val="0"/>
          </w:rPr>
          <w:t xml:space="preserve">www.francemusique.fr</w:t>
        </w:r>
      </w:hyperlink>
      <w:r w:rsidDel="00000000" w:rsidR="00000000" w:rsidRPr="00000000">
        <w:rPr>
          <w:rtl w:val="0"/>
        </w:rPr>
        <w:t xml:space="preserve">. For more information on the Festival, please visit: </w:t>
      </w:r>
      <w:hyperlink r:id="rId8">
        <w:r w:rsidDel="00000000" w:rsidR="00000000" w:rsidRPr="00000000">
          <w:rPr>
            <w:color w:val="0563c1"/>
            <w:u w:val="single"/>
            <w:rtl w:val="0"/>
          </w:rPr>
          <w:t xml:space="preserve">www.sinfoniavarsovia.org</w:t>
        </w:r>
      </w:hyperlink>
      <w:r w:rsidDel="00000000" w:rsidR="00000000" w:rsidRPr="00000000">
        <w:rPr>
          <w:rtl w:val="0"/>
        </w:rPr>
        <w:t xml:space="preserve"> and </w:t>
      </w:r>
      <w:hyperlink r:id="rId9">
        <w:r w:rsidDel="00000000" w:rsidR="00000000" w:rsidRPr="00000000">
          <w:rPr>
            <w:color w:val="0563c1"/>
            <w:u w:val="single"/>
            <w:rtl w:val="0"/>
          </w:rPr>
          <w:t xml:space="preserve">www.festival-piano.com</w:t>
        </w:r>
      </w:hyperlink>
      <w:r w:rsidDel="00000000" w:rsidR="00000000" w:rsidRPr="00000000">
        <w:rPr>
          <w:rtl w:val="0"/>
        </w:rPr>
        <w:t xml:space="preserve">.</w:t>
      </w:r>
    </w:p>
    <w:p w:rsidR="00000000" w:rsidDel="00000000" w:rsidP="00000000" w:rsidRDefault="00000000" w:rsidRPr="00000000" w14:paraId="0000000C">
      <w:pPr>
        <w:jc w:val="both"/>
        <w:rPr/>
      </w:pPr>
      <w:r w:rsidDel="00000000" w:rsidR="00000000" w:rsidRPr="00000000">
        <w:rPr>
          <w:rtl w:val="0"/>
        </w:rPr>
      </w:r>
    </w:p>
    <w:tbl>
      <w:tblPr>
        <w:tblStyle w:val="Table1"/>
        <w:tblW w:w="917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026"/>
        <w:gridCol w:w="6149"/>
        <w:tblGridChange w:id="0">
          <w:tblGrid>
            <w:gridCol w:w="3026"/>
            <w:gridCol w:w="6149"/>
          </w:tblGrid>
        </w:tblGridChange>
      </w:tblGrid>
      <w:tr>
        <w:trPr>
          <w:cantSplit w:val="0"/>
          <w:tblHeader w:val="0"/>
        </w:trPr>
        <w:tc>
          <w:tcPr/>
          <w:p w:rsidR="00000000" w:rsidDel="00000000" w:rsidP="00000000" w:rsidRDefault="00000000" w:rsidRPr="00000000" w14:paraId="0000000D">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2025360</wp:posOffset>
                  </wp:positionH>
                  <wp:positionV relativeFrom="paragraph">
                    <wp:posOffset>0</wp:posOffset>
                  </wp:positionV>
                  <wp:extent cx="1710000" cy="723600"/>
                  <wp:effectExtent b="0" l="0" r="0" t="0"/>
                  <wp:wrapSquare wrapText="bothSides" distB="0" distT="0" distL="114300" distR="114300"/>
                  <wp:docPr id="9" name="image1.jpg"/>
                  <a:graphic>
                    <a:graphicData uri="http://schemas.openxmlformats.org/drawingml/2006/picture">
                      <pic:pic>
                        <pic:nvPicPr>
                          <pic:cNvPr id="0" name="image1.jpg"/>
                          <pic:cNvPicPr preferRelativeResize="0"/>
                        </pic:nvPicPr>
                        <pic:blipFill>
                          <a:blip r:embed="rId10"/>
                          <a:srcRect b="0" l="0" r="0" t="0"/>
                          <a:stretch>
                            <a:fillRect/>
                          </a:stretch>
                        </pic:blipFill>
                        <pic:spPr>
                          <a:xfrm>
                            <a:off x="0" y="0"/>
                            <a:ext cx="1710000" cy="723600"/>
                          </a:xfrm>
                          <a:prstGeom prst="rect"/>
                          <a:ln/>
                        </pic:spPr>
                      </pic:pic>
                    </a:graphicData>
                  </a:graphic>
                </wp:anchor>
              </w:drawing>
            </w:r>
          </w:p>
        </w:tc>
        <w:tc>
          <w:tcPr/>
          <w:p w:rsidR="00000000" w:rsidDel="00000000" w:rsidP="00000000" w:rsidRDefault="00000000" w:rsidRPr="00000000" w14:paraId="0000000E">
            <w:pPr>
              <w:jc w:val="both"/>
              <w:rPr>
                <w:sz w:val="21"/>
                <w:szCs w:val="21"/>
              </w:rPr>
            </w:pPr>
            <w:r w:rsidDel="00000000" w:rsidR="00000000" w:rsidRPr="00000000">
              <w:rPr>
                <w:rtl w:val="0"/>
              </w:rPr>
            </w:r>
          </w:p>
          <w:p w:rsidR="00000000" w:rsidDel="00000000" w:rsidP="00000000" w:rsidRDefault="00000000" w:rsidRPr="00000000" w14:paraId="0000000F">
            <w:pPr>
              <w:jc w:val="both"/>
              <w:rPr>
                <w:sz w:val="21"/>
                <w:szCs w:val="21"/>
              </w:rPr>
            </w:pPr>
            <w:r w:rsidDel="00000000" w:rsidR="00000000" w:rsidRPr="00000000">
              <w:rPr>
                <w:sz w:val="21"/>
                <w:szCs w:val="21"/>
                <w:rtl w:val="0"/>
              </w:rPr>
              <w:t xml:space="preserve">Co-financed by the Ministry of Culture, National Heritage, and Sport from the Culture Promotion Fund, obtained from surcharges for games under state monopoly pursuant to Article 80(1) of the Gambling Act of 19 November 2009</w:t>
            </w:r>
          </w:p>
        </w:tc>
      </w:tr>
    </w:tbl>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sectPr>
      <w:headerReference r:id="rId11" w:type="default"/>
      <w:pgSz w:h="16838" w:w="11906" w:orient="portrait"/>
      <w:pgMar w:bottom="1417" w:top="1843"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-861694</wp:posOffset>
          </wp:positionH>
          <wp:positionV relativeFrom="paragraph">
            <wp:posOffset>-417829</wp:posOffset>
          </wp:positionV>
          <wp:extent cx="7465060" cy="10560050"/>
          <wp:effectExtent b="0" l="0" r="0" t="0"/>
          <wp:wrapNone/>
          <wp:docPr id="10"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465060" cy="105600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character" w:styleId="Hipercze">
    <w:name w:val="Hyperlink"/>
    <w:basedOn w:val="Domylnaczcionkaakapitu"/>
    <w:uiPriority w:val="99"/>
    <w:unhideWhenUsed w:val="1"/>
    <w:rsid w:val="008D6241"/>
    <w:rPr>
      <w:color w:val="0563c1" w:themeColor="hyperlink"/>
      <w:u w:val="single"/>
    </w:rPr>
  </w:style>
  <w:style w:type="character" w:styleId="Nierozpoznanawzmianka">
    <w:name w:val="Unresolved Mention"/>
    <w:basedOn w:val="Domylnaczcionkaakapitu"/>
    <w:uiPriority w:val="99"/>
    <w:semiHidden w:val="1"/>
    <w:unhideWhenUsed w:val="1"/>
    <w:rsid w:val="008D6241"/>
    <w:rPr>
      <w:color w:val="605e5c"/>
      <w:shd w:color="auto" w:fill="e1dfdd" w:val="clear"/>
    </w:rPr>
  </w:style>
  <w:style w:type="paragraph" w:styleId="Nagwek">
    <w:name w:val="header"/>
    <w:basedOn w:val="Normalny"/>
    <w:link w:val="NagwekZnak"/>
    <w:uiPriority w:val="99"/>
    <w:unhideWhenUsed w:val="1"/>
    <w:rsid w:val="009E65AE"/>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9E65AE"/>
  </w:style>
  <w:style w:type="paragraph" w:styleId="Stopka">
    <w:name w:val="footer"/>
    <w:basedOn w:val="Normalny"/>
    <w:link w:val="StopkaZnak"/>
    <w:uiPriority w:val="99"/>
    <w:unhideWhenUsed w:val="1"/>
    <w:rsid w:val="009E65AE"/>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9E65AE"/>
  </w:style>
  <w:style w:type="table" w:styleId="Tabela-Siatka">
    <w:name w:val="Table Grid"/>
    <w:basedOn w:val="Standardowy"/>
    <w:uiPriority w:val="39"/>
    <w:rsid w:val="00EA1E3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customXml" Target="../customXML/item3.xml"/><Relationship Id="rId3" Type="http://schemas.openxmlformats.org/officeDocument/2006/relationships/fontTable" Target="fontTable.xml"/><Relationship Id="rId7" Type="http://schemas.openxmlformats.org/officeDocument/2006/relationships/hyperlink" Target="about:blank" TargetMode="Externa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theme" Target="theme/theme1.xml"/><Relationship Id="rId11" Type="http://schemas.openxmlformats.org/officeDocument/2006/relationships/header" Target="header1.xml"/><Relationship Id="rId6" Type="http://schemas.openxmlformats.org/officeDocument/2006/relationships/customXml" Target="../customXML/item1.xml"/><Relationship Id="rId5" Type="http://schemas.openxmlformats.org/officeDocument/2006/relationships/styles" Target="styles.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hyperlink" Target="about:blank" TargetMode="Externa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a1dPmsKd4n+PQuhS0+WX+M5tDA==">AMUW2mUjQeglmgrdhXdPz7W0WL3R+ScRZnzbbo+Z/nOAz+58mAVyKX6PkLW7gjsd0ZA3Xn2MdNp5meSLuASoB/1ypimZGf2Tp+H9OKv41Vdu8NE19olIRWPsJt0h0EAB8EHyZIplLVDmyEvORB2ZCZXPXm1ysPuYkEWQ+0EbRtzQvJ8+/GJalr55eWbW8Yb5h/nY+1+t/jwbOjOYHx0gS6wELfYTHTlxwYDlTt9QGizZKsB2ngpxxLmmICdjC0gdlb/8Ut7w3oSv3lxmGUvySVmrVm04vDxJeYw0ue/xSFptNeopr9mrDACskpbwmaYvFAsX/2psZYwV</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3" ma:contentTypeDescription="Utwórz nowy dokument." ma:contentTypeScope="" ma:versionID="beed9cbef307dc342f6db00a72c654e7">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a20add88373f91d98b645a0ef72c9085"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B6782133-1F9E-4EC3-B3D3-74B2A0A62426}"/>
</file>

<file path=customXML/itemProps3.xml><?xml version="1.0" encoding="utf-8"?>
<ds:datastoreItem xmlns:ds="http://schemas.openxmlformats.org/officeDocument/2006/customXml" ds:itemID="{5386C3F0-80BB-42C9-B48F-F790412232CE}"/>
</file>

<file path=customXML/itemProps4.xml><?xml version="1.0" encoding="utf-8"?>
<ds:datastoreItem xmlns:ds="http://schemas.openxmlformats.org/officeDocument/2006/customXml" ds:itemID="{51CECF2E-EFCE-4C3D-80E6-C566A3AA44D3}"/>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Strużyński</dc:creator>
  <dcterms:created xsi:type="dcterms:W3CDTF">2021-08-11T14:22:00Z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0x010100A85B644C45601E4CA9155761554DD35B</vt:lpwstr>
  </property>
</Properties>
</file>