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9024" w14:textId="23662256" w:rsidR="00DB7130" w:rsidRDefault="00A25653" w:rsidP="006E15CE">
      <w:pPr>
        <w:jc w:val="right"/>
      </w:pPr>
      <w:r>
        <w:t xml:space="preserve">Warszawa, </w:t>
      </w:r>
      <w:r w:rsidR="006E15CE">
        <w:t>1</w:t>
      </w:r>
      <w:r w:rsidR="00EA6C77">
        <w:t>9</w:t>
      </w:r>
      <w:r w:rsidR="006E15CE">
        <w:t xml:space="preserve"> lipca 2022</w:t>
      </w:r>
      <w:r w:rsidR="006E15CE">
        <w:br/>
      </w:r>
      <w:r>
        <w:t>Informacja prasowa</w:t>
      </w:r>
    </w:p>
    <w:p w14:paraId="0EF11451" w14:textId="77777777" w:rsidR="00821830" w:rsidRPr="00A25653" w:rsidRDefault="00821830" w:rsidP="006E15CE">
      <w:pPr>
        <w:jc w:val="right"/>
      </w:pPr>
    </w:p>
    <w:p w14:paraId="624610F2" w14:textId="17FDDCD7" w:rsidR="00922FC8" w:rsidRPr="00FE70BF" w:rsidRDefault="00922FC8" w:rsidP="00DB7130">
      <w:pPr>
        <w:spacing w:after="0"/>
        <w:jc w:val="center"/>
        <w:rPr>
          <w:b/>
          <w:bCs/>
          <w:sz w:val="48"/>
          <w:szCs w:val="48"/>
        </w:rPr>
      </w:pPr>
      <w:r w:rsidRPr="00FE70BF">
        <w:rPr>
          <w:b/>
          <w:bCs/>
          <w:sz w:val="48"/>
          <w:szCs w:val="48"/>
        </w:rPr>
        <w:t xml:space="preserve">Szalone Dni Muzyki </w:t>
      </w:r>
      <w:r w:rsidR="001D40BD" w:rsidRPr="00FE70BF">
        <w:rPr>
          <w:b/>
          <w:bCs/>
          <w:sz w:val="48"/>
          <w:szCs w:val="48"/>
        </w:rPr>
        <w:t>2022</w:t>
      </w:r>
      <w:r w:rsidR="00821830">
        <w:rPr>
          <w:b/>
          <w:bCs/>
          <w:sz w:val="48"/>
          <w:szCs w:val="48"/>
        </w:rPr>
        <w:br/>
      </w:r>
      <w:r w:rsidR="001D40BD" w:rsidRPr="00FE70BF">
        <w:rPr>
          <w:b/>
          <w:bCs/>
          <w:sz w:val="48"/>
          <w:szCs w:val="48"/>
        </w:rPr>
        <w:t>„Ballady i romanse”</w:t>
      </w:r>
    </w:p>
    <w:p w14:paraId="11465086" w14:textId="64EFC289" w:rsidR="001D40BD" w:rsidRPr="00FE70BF" w:rsidRDefault="001D40BD" w:rsidP="008F3145">
      <w:pPr>
        <w:spacing w:before="120" w:after="120"/>
        <w:jc w:val="center"/>
        <w:rPr>
          <w:b/>
          <w:bCs/>
          <w:sz w:val="36"/>
          <w:szCs w:val="36"/>
        </w:rPr>
      </w:pPr>
      <w:r w:rsidRPr="00FE70BF">
        <w:rPr>
          <w:b/>
          <w:bCs/>
          <w:sz w:val="36"/>
          <w:szCs w:val="36"/>
        </w:rPr>
        <w:t>23</w:t>
      </w:r>
      <w:r w:rsidR="00FE70BF">
        <w:rPr>
          <w:b/>
          <w:bCs/>
          <w:sz w:val="36"/>
          <w:szCs w:val="36"/>
        </w:rPr>
        <w:t>–</w:t>
      </w:r>
      <w:r w:rsidRPr="00FE70BF">
        <w:rPr>
          <w:b/>
          <w:bCs/>
          <w:sz w:val="36"/>
          <w:szCs w:val="36"/>
        </w:rPr>
        <w:t>25 września 20</w:t>
      </w:r>
      <w:r w:rsidR="00A25653">
        <w:rPr>
          <w:b/>
          <w:bCs/>
          <w:sz w:val="36"/>
          <w:szCs w:val="36"/>
        </w:rPr>
        <w:t>22</w:t>
      </w:r>
    </w:p>
    <w:p w14:paraId="28672759" w14:textId="6DFF8D5F" w:rsidR="001D40BD" w:rsidRDefault="001D40BD" w:rsidP="00DB7130">
      <w:pPr>
        <w:spacing w:after="0"/>
        <w:jc w:val="center"/>
        <w:rPr>
          <w:b/>
          <w:bCs/>
          <w:sz w:val="36"/>
          <w:szCs w:val="36"/>
        </w:rPr>
      </w:pPr>
      <w:r w:rsidRPr="00FE70BF">
        <w:rPr>
          <w:b/>
          <w:bCs/>
          <w:sz w:val="36"/>
          <w:szCs w:val="36"/>
        </w:rPr>
        <w:t xml:space="preserve">Teatr Wielki </w:t>
      </w:r>
      <w:r w:rsidR="00614933">
        <w:rPr>
          <w:b/>
          <w:bCs/>
          <w:sz w:val="36"/>
          <w:szCs w:val="36"/>
        </w:rPr>
        <w:t>-</w:t>
      </w:r>
      <w:r w:rsidRPr="00FE70BF">
        <w:rPr>
          <w:b/>
          <w:bCs/>
          <w:sz w:val="36"/>
          <w:szCs w:val="36"/>
        </w:rPr>
        <w:t xml:space="preserve"> Opera Narodowa</w:t>
      </w:r>
    </w:p>
    <w:p w14:paraId="0FEF6624" w14:textId="5A795B80" w:rsidR="00116D3C" w:rsidRPr="00FE70BF" w:rsidRDefault="00116D3C" w:rsidP="00E20411">
      <w:pPr>
        <w:spacing w:after="2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Kościół Środowisk Twórczych</w:t>
      </w:r>
      <w:r w:rsidR="00E63FDA">
        <w:rPr>
          <w:b/>
          <w:bCs/>
          <w:sz w:val="36"/>
          <w:szCs w:val="36"/>
        </w:rPr>
        <w:br/>
        <w:t>Warszawa</w:t>
      </w:r>
    </w:p>
    <w:p w14:paraId="5CF1E8B6" w14:textId="53A60F4E" w:rsidR="009E4797" w:rsidRDefault="00604091" w:rsidP="00ED3EE5">
      <w:pPr>
        <w:jc w:val="both"/>
        <w:rPr>
          <w:b/>
          <w:bCs/>
        </w:rPr>
      </w:pPr>
      <w:r w:rsidRPr="00C037D1">
        <w:rPr>
          <w:b/>
          <w:bCs/>
        </w:rPr>
        <w:t xml:space="preserve">Szalone Dni Muzyki zawitają do Warszawy </w:t>
      </w:r>
      <w:r w:rsidR="001F7B3F" w:rsidRPr="00C037D1">
        <w:rPr>
          <w:b/>
          <w:bCs/>
        </w:rPr>
        <w:t xml:space="preserve">po raz dwunasty. </w:t>
      </w:r>
      <w:r w:rsidR="00063FEA" w:rsidRPr="00C037D1">
        <w:rPr>
          <w:b/>
          <w:bCs/>
        </w:rPr>
        <w:t>Ostatni weekend września</w:t>
      </w:r>
      <w:r w:rsidR="00C037D1">
        <w:rPr>
          <w:b/>
          <w:bCs/>
        </w:rPr>
        <w:t xml:space="preserve"> </w:t>
      </w:r>
      <w:r w:rsidR="006E048C">
        <w:rPr>
          <w:b/>
          <w:bCs/>
        </w:rPr>
        <w:br/>
      </w:r>
      <w:r w:rsidR="00C037D1">
        <w:rPr>
          <w:b/>
          <w:bCs/>
        </w:rPr>
        <w:t>(23–25</w:t>
      </w:r>
      <w:r w:rsidR="006E048C">
        <w:rPr>
          <w:b/>
          <w:bCs/>
        </w:rPr>
        <w:t xml:space="preserve"> </w:t>
      </w:r>
      <w:r w:rsidR="00C037D1">
        <w:rPr>
          <w:b/>
          <w:bCs/>
        </w:rPr>
        <w:t xml:space="preserve">września) </w:t>
      </w:r>
      <w:r w:rsidR="00063FEA" w:rsidRPr="00C037D1">
        <w:rPr>
          <w:b/>
          <w:bCs/>
        </w:rPr>
        <w:t xml:space="preserve">upłynie pod znakiem romantyzmu. </w:t>
      </w:r>
      <w:r w:rsidR="004C6205" w:rsidRPr="00C037D1">
        <w:rPr>
          <w:b/>
          <w:bCs/>
        </w:rPr>
        <w:t xml:space="preserve">Podczas trzech festiwalowych dni w salach Teatru Wielkiego </w:t>
      </w:r>
      <w:r w:rsidR="00614933">
        <w:rPr>
          <w:b/>
          <w:bCs/>
        </w:rPr>
        <w:t>-</w:t>
      </w:r>
      <w:r w:rsidR="004C6205" w:rsidRPr="00C037D1">
        <w:rPr>
          <w:b/>
          <w:bCs/>
        </w:rPr>
        <w:t xml:space="preserve"> Opery Narodowej oraz</w:t>
      </w:r>
      <w:r w:rsidR="00BC06BB" w:rsidRPr="00C037D1">
        <w:rPr>
          <w:b/>
          <w:bCs/>
        </w:rPr>
        <w:t xml:space="preserve"> Kościoła Środowisk </w:t>
      </w:r>
      <w:r w:rsidR="00922F16" w:rsidRPr="00C037D1">
        <w:rPr>
          <w:b/>
          <w:bCs/>
        </w:rPr>
        <w:t>T</w:t>
      </w:r>
      <w:r w:rsidR="00BC06BB" w:rsidRPr="00C037D1">
        <w:rPr>
          <w:b/>
          <w:bCs/>
        </w:rPr>
        <w:t xml:space="preserve">wórczych </w:t>
      </w:r>
      <w:r w:rsidR="00516A24" w:rsidRPr="00C037D1">
        <w:rPr>
          <w:b/>
          <w:bCs/>
        </w:rPr>
        <w:t xml:space="preserve">odbędzie się </w:t>
      </w:r>
      <w:r w:rsidR="00BC06BB" w:rsidRPr="00C037D1">
        <w:rPr>
          <w:b/>
          <w:bCs/>
        </w:rPr>
        <w:t>ponad 30 koncertów</w:t>
      </w:r>
      <w:r w:rsidR="00AC34A1" w:rsidRPr="00C037D1">
        <w:rPr>
          <w:b/>
          <w:bCs/>
        </w:rPr>
        <w:t xml:space="preserve"> </w:t>
      </w:r>
      <w:r w:rsidR="00F51534">
        <w:rPr>
          <w:b/>
          <w:bCs/>
        </w:rPr>
        <w:t>orkiestrowych</w:t>
      </w:r>
      <w:r w:rsidR="00014451">
        <w:rPr>
          <w:b/>
          <w:bCs/>
        </w:rPr>
        <w:t xml:space="preserve"> i</w:t>
      </w:r>
      <w:r w:rsidR="00F51534">
        <w:rPr>
          <w:b/>
          <w:bCs/>
        </w:rPr>
        <w:t xml:space="preserve"> kameralnych </w:t>
      </w:r>
      <w:r w:rsidR="00AC34A1" w:rsidRPr="00C037D1">
        <w:rPr>
          <w:b/>
          <w:bCs/>
        </w:rPr>
        <w:t>w wykonaniu artystów z Polski i zagranicy.</w:t>
      </w:r>
      <w:r w:rsidR="007B03FE">
        <w:rPr>
          <w:b/>
          <w:bCs/>
        </w:rPr>
        <w:t xml:space="preserve"> </w:t>
      </w:r>
      <w:r w:rsidR="00CA4E23">
        <w:rPr>
          <w:b/>
          <w:bCs/>
        </w:rPr>
        <w:t>Wśród</w:t>
      </w:r>
      <w:r w:rsidR="006E048C">
        <w:rPr>
          <w:b/>
          <w:bCs/>
        </w:rPr>
        <w:t> </w:t>
      </w:r>
      <w:r w:rsidR="00CA4E23">
        <w:rPr>
          <w:b/>
          <w:bCs/>
        </w:rPr>
        <w:t>zaproszonych gości</w:t>
      </w:r>
      <w:r w:rsidR="00E32034">
        <w:rPr>
          <w:b/>
          <w:bCs/>
        </w:rPr>
        <w:t xml:space="preserve"> </w:t>
      </w:r>
      <w:r w:rsidR="00266514">
        <w:rPr>
          <w:b/>
          <w:bCs/>
        </w:rPr>
        <w:t>piani</w:t>
      </w:r>
      <w:r w:rsidR="002C4014">
        <w:rPr>
          <w:b/>
          <w:bCs/>
        </w:rPr>
        <w:t>ści</w:t>
      </w:r>
      <w:r w:rsidR="00266514">
        <w:rPr>
          <w:b/>
          <w:bCs/>
        </w:rPr>
        <w:t xml:space="preserve"> </w:t>
      </w:r>
      <w:r w:rsidR="00E32034">
        <w:rPr>
          <w:b/>
          <w:bCs/>
        </w:rPr>
        <w:t>Jonas Vitaud</w:t>
      </w:r>
      <w:r w:rsidR="002C4014">
        <w:rPr>
          <w:b/>
          <w:bCs/>
        </w:rPr>
        <w:t xml:space="preserve"> i</w:t>
      </w:r>
      <w:r w:rsidR="002C4014" w:rsidRPr="002C4014">
        <w:rPr>
          <w:rFonts w:eastAsia="Times New Roman" w:cstheme="minorHAnsi"/>
          <w:lang w:eastAsia="pl-PL"/>
        </w:rPr>
        <w:t xml:space="preserve"> </w:t>
      </w:r>
      <w:r w:rsidR="002C4014" w:rsidRPr="002C4014">
        <w:rPr>
          <w:rFonts w:eastAsia="Times New Roman" w:cstheme="minorHAnsi"/>
          <w:b/>
          <w:bCs/>
          <w:lang w:eastAsia="pl-PL"/>
        </w:rPr>
        <w:t>Tanguy de Williencourt</w:t>
      </w:r>
      <w:r w:rsidR="0021564A">
        <w:rPr>
          <w:rFonts w:eastAsia="Times New Roman" w:cstheme="minorHAnsi"/>
          <w:b/>
          <w:bCs/>
          <w:lang w:eastAsia="pl-PL"/>
        </w:rPr>
        <w:t xml:space="preserve"> oraz </w:t>
      </w:r>
      <w:r w:rsidR="0021564A">
        <w:rPr>
          <w:b/>
          <w:bCs/>
        </w:rPr>
        <w:t>śpiewaczka Agata Zubel</w:t>
      </w:r>
      <w:r w:rsidR="003A0987">
        <w:rPr>
          <w:b/>
          <w:bCs/>
        </w:rPr>
        <w:t>,</w:t>
      </w:r>
      <w:r w:rsidR="009E4797">
        <w:rPr>
          <w:b/>
          <w:bCs/>
        </w:rPr>
        <w:t xml:space="preserve"> </w:t>
      </w:r>
      <w:r w:rsidR="00266514">
        <w:rPr>
          <w:b/>
          <w:bCs/>
        </w:rPr>
        <w:t xml:space="preserve">a także </w:t>
      </w:r>
      <w:r w:rsidR="009E4797">
        <w:rPr>
          <w:b/>
          <w:bCs/>
        </w:rPr>
        <w:t>Kwartet Modigliani, Atom String Quartet</w:t>
      </w:r>
      <w:r w:rsidR="00383C99">
        <w:rPr>
          <w:b/>
          <w:bCs/>
        </w:rPr>
        <w:t>, La Morra</w:t>
      </w:r>
      <w:r w:rsidR="00594D0B">
        <w:rPr>
          <w:b/>
          <w:bCs/>
        </w:rPr>
        <w:t xml:space="preserve"> i</w:t>
      </w:r>
      <w:r w:rsidR="009E4797">
        <w:rPr>
          <w:b/>
          <w:bCs/>
        </w:rPr>
        <w:t xml:space="preserve"> Trio Nebelmeer.</w:t>
      </w:r>
      <w:r w:rsidR="008872F5">
        <w:rPr>
          <w:b/>
          <w:bCs/>
        </w:rPr>
        <w:t xml:space="preserve"> </w:t>
      </w:r>
      <w:r w:rsidR="008872F5" w:rsidRPr="008872F5">
        <w:rPr>
          <w:rFonts w:eastAsia="Times New Roman" w:cstheme="minorHAnsi"/>
          <w:b/>
          <w:bCs/>
          <w:lang w:eastAsia="pl-PL"/>
        </w:rPr>
        <w:t xml:space="preserve">Sinfonia Varsovia, NFM Leopoldinum oraz </w:t>
      </w:r>
      <w:r w:rsidR="00266514">
        <w:rPr>
          <w:rFonts w:eastAsia="Times New Roman" w:cstheme="minorHAnsi"/>
          <w:b/>
          <w:bCs/>
          <w:lang w:eastAsia="pl-PL"/>
        </w:rPr>
        <w:t xml:space="preserve">Orkiestra </w:t>
      </w:r>
      <w:r w:rsidR="008872F5" w:rsidRPr="008872F5">
        <w:rPr>
          <w:rFonts w:eastAsia="Times New Roman" w:cstheme="minorHAnsi"/>
          <w:b/>
          <w:bCs/>
          <w:lang w:eastAsia="pl-PL"/>
        </w:rPr>
        <w:t xml:space="preserve">Teatru Wielkiego </w:t>
      </w:r>
      <w:r w:rsidR="00614933">
        <w:rPr>
          <w:rFonts w:eastAsia="Times New Roman" w:cstheme="minorHAnsi"/>
          <w:b/>
          <w:bCs/>
          <w:lang w:eastAsia="pl-PL"/>
        </w:rPr>
        <w:t>-</w:t>
      </w:r>
      <w:r w:rsidR="008872F5" w:rsidRPr="008872F5">
        <w:rPr>
          <w:rFonts w:eastAsia="Times New Roman" w:cstheme="minorHAnsi"/>
          <w:b/>
          <w:bCs/>
          <w:lang w:eastAsia="pl-PL"/>
        </w:rPr>
        <w:t xml:space="preserve"> Opery Narodowej wystąpią pod</w:t>
      </w:r>
      <w:r w:rsidR="006E048C">
        <w:rPr>
          <w:rFonts w:eastAsia="Times New Roman" w:cstheme="minorHAnsi"/>
          <w:b/>
          <w:bCs/>
          <w:lang w:eastAsia="pl-PL"/>
        </w:rPr>
        <w:t> </w:t>
      </w:r>
      <w:r w:rsidR="008872F5" w:rsidRPr="008872F5">
        <w:rPr>
          <w:rFonts w:eastAsia="Times New Roman" w:cstheme="minorHAnsi"/>
          <w:b/>
          <w:bCs/>
          <w:lang w:eastAsia="pl-PL"/>
        </w:rPr>
        <w:t>batutą takich dyrygentów, jak Patrick Fournillier, Marta Gardolińska, Ernst Kovacic</w:t>
      </w:r>
      <w:r w:rsidR="000065A2">
        <w:rPr>
          <w:rFonts w:eastAsia="Times New Roman" w:cstheme="minorHAnsi"/>
          <w:b/>
          <w:bCs/>
          <w:lang w:eastAsia="pl-PL"/>
        </w:rPr>
        <w:t xml:space="preserve"> </w:t>
      </w:r>
      <w:r w:rsidR="008872F5" w:rsidRPr="008872F5">
        <w:rPr>
          <w:rFonts w:eastAsia="Times New Roman" w:cstheme="minorHAnsi"/>
          <w:b/>
          <w:bCs/>
          <w:lang w:eastAsia="pl-PL"/>
        </w:rPr>
        <w:t>i Dirk Vermeulen.</w:t>
      </w:r>
    </w:p>
    <w:p w14:paraId="223C15D8" w14:textId="77777777" w:rsidR="0056311E" w:rsidRPr="0056311E" w:rsidRDefault="0056311E" w:rsidP="00ED3EE5">
      <w:pPr>
        <w:jc w:val="both"/>
        <w:rPr>
          <w:b/>
          <w:bCs/>
          <w:i/>
          <w:iCs/>
        </w:rPr>
      </w:pPr>
      <w:r w:rsidRPr="0056311E">
        <w:rPr>
          <w:b/>
          <w:bCs/>
          <w:i/>
          <w:iCs/>
        </w:rPr>
        <w:t>Ballady i romanse</w:t>
      </w:r>
    </w:p>
    <w:p w14:paraId="3245FBC6" w14:textId="6ABDEDE3" w:rsidR="0056311E" w:rsidRDefault="002E38E8" w:rsidP="00ED3EE5">
      <w:pPr>
        <w:jc w:val="both"/>
      </w:pPr>
      <w:r>
        <w:t xml:space="preserve">Podtytuł </w:t>
      </w:r>
      <w:r w:rsidR="00FF55D9">
        <w:t xml:space="preserve">obecnej </w:t>
      </w:r>
      <w:r>
        <w:t xml:space="preserve">edycji przywołuje </w:t>
      </w:r>
      <w:r>
        <w:rPr>
          <w:i/>
          <w:iCs/>
        </w:rPr>
        <w:t>Ballady i romanse</w:t>
      </w:r>
      <w:r>
        <w:t xml:space="preserve"> Adama Mickiewicza</w:t>
      </w:r>
      <w:r w:rsidR="0056705A">
        <w:t xml:space="preserve">, </w:t>
      </w:r>
      <w:r w:rsidR="000377AA">
        <w:t xml:space="preserve">tytuł </w:t>
      </w:r>
      <w:r w:rsidR="00D5444D">
        <w:t>zbi</w:t>
      </w:r>
      <w:r w:rsidR="000377AA">
        <w:t>oru</w:t>
      </w:r>
      <w:r w:rsidR="00D5444D">
        <w:t xml:space="preserve"> poezji, którego </w:t>
      </w:r>
      <w:r w:rsidR="0056705A">
        <w:t xml:space="preserve">publikacja </w:t>
      </w:r>
      <w:r w:rsidR="00830617">
        <w:t xml:space="preserve">dokładnie 200 lat temu </w:t>
      </w:r>
      <w:r w:rsidR="0056705A">
        <w:t>uznawana jest za symboliczny początek polskiego romantyzmu</w:t>
      </w:r>
      <w:r w:rsidR="00830617">
        <w:t xml:space="preserve">. </w:t>
      </w:r>
      <w:r w:rsidR="00154A39">
        <w:t xml:space="preserve">W </w:t>
      </w:r>
      <w:r w:rsidR="006E048C">
        <w:t> </w:t>
      </w:r>
      <w:r w:rsidR="00154A39">
        <w:t>programie festiwalu s</w:t>
      </w:r>
      <w:r w:rsidR="001F5F82">
        <w:t xml:space="preserve">zczególny nacisk zostanie położony na twórczość Franciszka Schuberta. </w:t>
      </w:r>
      <w:r w:rsidR="006826B6">
        <w:t xml:space="preserve">Uhonorowany zostanie </w:t>
      </w:r>
      <w:r w:rsidR="001F5F82">
        <w:t xml:space="preserve">w taki sposób ważny jubileusz </w:t>
      </w:r>
      <w:r w:rsidR="0042008A">
        <w:t>225-leci</w:t>
      </w:r>
      <w:r w:rsidR="001F5F82">
        <w:t>a</w:t>
      </w:r>
      <w:r w:rsidR="0042008A">
        <w:t xml:space="preserve"> urodzin </w:t>
      </w:r>
      <w:r w:rsidR="001F5F82">
        <w:t xml:space="preserve">tego </w:t>
      </w:r>
      <w:r w:rsidR="00165D0E">
        <w:t>austriackiego</w:t>
      </w:r>
      <w:r w:rsidR="00753833">
        <w:t xml:space="preserve"> kompozytora</w:t>
      </w:r>
      <w:r w:rsidR="001F5F82">
        <w:t>,</w:t>
      </w:r>
      <w:r w:rsidR="00165D0E">
        <w:t xml:space="preserve"> </w:t>
      </w:r>
      <w:r w:rsidR="00753833">
        <w:t>prekursora romantyzmu</w:t>
      </w:r>
      <w:r w:rsidR="00165D0E">
        <w:t xml:space="preserve">, </w:t>
      </w:r>
      <w:r w:rsidR="006826B6">
        <w:t xml:space="preserve">którego twórczość wyznaczyła kierunki </w:t>
      </w:r>
      <w:r w:rsidR="00165D0E">
        <w:t xml:space="preserve">muzyki </w:t>
      </w:r>
      <w:r w:rsidR="006826B6">
        <w:t>XIX w.</w:t>
      </w:r>
    </w:p>
    <w:p w14:paraId="414BD859" w14:textId="77252EA5" w:rsidR="00821830" w:rsidRDefault="00C459AA" w:rsidP="00ED3EE5">
      <w:pPr>
        <w:jc w:val="both"/>
        <w:rPr>
          <w:b/>
          <w:bCs/>
        </w:rPr>
      </w:pPr>
      <w:r>
        <w:t>Wykonane zostaną m.in.:</w:t>
      </w:r>
      <w:r w:rsidR="00A23B3E">
        <w:t xml:space="preserve"> </w:t>
      </w:r>
      <w:r w:rsidR="00E467CA">
        <w:t>S</w:t>
      </w:r>
      <w:r w:rsidR="00A23B3E">
        <w:t>ymfonia</w:t>
      </w:r>
      <w:r w:rsidR="0020005E">
        <w:t xml:space="preserve"> </w:t>
      </w:r>
      <w:r w:rsidR="00A23B3E">
        <w:rPr>
          <w:i/>
          <w:iCs/>
        </w:rPr>
        <w:t xml:space="preserve">Harold w Italii </w:t>
      </w:r>
      <w:r w:rsidR="00E71624">
        <w:t xml:space="preserve">Hectora </w:t>
      </w:r>
      <w:r w:rsidR="00A9261C" w:rsidRPr="00A9261C">
        <w:t>Berlioz</w:t>
      </w:r>
      <w:r w:rsidR="00E71624">
        <w:t>a</w:t>
      </w:r>
      <w:r w:rsidR="00A9261C" w:rsidRPr="00A9261C">
        <w:t xml:space="preserve">, </w:t>
      </w:r>
      <w:r w:rsidR="0020005E" w:rsidRPr="00E467CA">
        <w:t>I Koncert fortepianowy</w:t>
      </w:r>
      <w:r w:rsidR="0020005E">
        <w:t xml:space="preserve"> </w:t>
      </w:r>
      <w:r w:rsidR="002339EC">
        <w:t xml:space="preserve">d-moll </w:t>
      </w:r>
      <w:r w:rsidR="00E71624">
        <w:t>Johannes</w:t>
      </w:r>
      <w:r w:rsidR="0020005E">
        <w:t>a</w:t>
      </w:r>
      <w:r w:rsidR="00E71624">
        <w:t xml:space="preserve"> </w:t>
      </w:r>
      <w:r w:rsidR="00A9261C" w:rsidRPr="00A9261C">
        <w:t>Brahms</w:t>
      </w:r>
      <w:r w:rsidR="0020005E">
        <w:t>a</w:t>
      </w:r>
      <w:r w:rsidR="00A9261C" w:rsidRPr="00A9261C">
        <w:t xml:space="preserve">, </w:t>
      </w:r>
      <w:r w:rsidR="00370090">
        <w:t xml:space="preserve">koncertowe </w:t>
      </w:r>
      <w:r w:rsidR="00E467CA">
        <w:t xml:space="preserve">transkrypcje fortepianowe Franza </w:t>
      </w:r>
      <w:r w:rsidR="00A9261C" w:rsidRPr="00A9261C">
        <w:t>Liszt</w:t>
      </w:r>
      <w:r w:rsidR="00E467CA">
        <w:t>a</w:t>
      </w:r>
      <w:r w:rsidR="00A9261C" w:rsidRPr="00A9261C">
        <w:t xml:space="preserve">, </w:t>
      </w:r>
      <w:r w:rsidR="00E71624">
        <w:t>pieśni orkiestrowe Almy i</w:t>
      </w:r>
      <w:r w:rsidR="006E048C">
        <w:t> </w:t>
      </w:r>
      <w:r w:rsidR="00E71624">
        <w:t xml:space="preserve">Gustava </w:t>
      </w:r>
      <w:r w:rsidR="00A9261C" w:rsidRPr="00A9261C">
        <w:t>Mahler</w:t>
      </w:r>
      <w:r w:rsidR="00370090">
        <w:t>ów</w:t>
      </w:r>
      <w:r w:rsidR="00A9261C" w:rsidRPr="00A9261C">
        <w:t xml:space="preserve">, </w:t>
      </w:r>
      <w:r w:rsidR="00E71624">
        <w:t>późne kwartety</w:t>
      </w:r>
      <w:r w:rsidR="00A34D84">
        <w:t xml:space="preserve">, cykl </w:t>
      </w:r>
      <w:r w:rsidR="00A34D84">
        <w:rPr>
          <w:i/>
          <w:iCs/>
        </w:rPr>
        <w:t>Podróż zimowa</w:t>
      </w:r>
      <w:r w:rsidR="00E71624">
        <w:t xml:space="preserve"> i Symfonia</w:t>
      </w:r>
      <w:r w:rsidR="0056311E">
        <w:t xml:space="preserve"> h-moll</w:t>
      </w:r>
      <w:r w:rsidR="00E71624">
        <w:t xml:space="preserve"> </w:t>
      </w:r>
      <w:r w:rsidR="00E71624">
        <w:rPr>
          <w:i/>
          <w:iCs/>
        </w:rPr>
        <w:t xml:space="preserve">Niedokończona </w:t>
      </w:r>
      <w:r w:rsidR="00E71624">
        <w:t xml:space="preserve">Franza </w:t>
      </w:r>
      <w:r w:rsidR="00A9261C" w:rsidRPr="00A9261C">
        <w:t>Schubert</w:t>
      </w:r>
      <w:r w:rsidR="00E71624">
        <w:t>a</w:t>
      </w:r>
      <w:r w:rsidR="0056311E">
        <w:t xml:space="preserve"> oraz</w:t>
      </w:r>
      <w:r w:rsidR="00A9261C" w:rsidRPr="00A9261C">
        <w:t xml:space="preserve"> </w:t>
      </w:r>
      <w:r w:rsidR="002339EC">
        <w:t xml:space="preserve">Koncert fortepianowy </w:t>
      </w:r>
      <w:r w:rsidR="0056311E">
        <w:t xml:space="preserve">a-moll </w:t>
      </w:r>
      <w:r w:rsidR="002339EC">
        <w:t xml:space="preserve">i Kwintet fortepianowy Es-dur </w:t>
      </w:r>
      <w:r w:rsidR="00E71624">
        <w:t xml:space="preserve">Roberta </w:t>
      </w:r>
      <w:r w:rsidR="00A9261C" w:rsidRPr="00A9261C">
        <w:t>Schumann</w:t>
      </w:r>
      <w:r w:rsidR="00E71624">
        <w:t>a</w:t>
      </w:r>
      <w:r w:rsidR="002339EC">
        <w:t>.</w:t>
      </w:r>
      <w:r w:rsidR="00A84D7C">
        <w:t xml:space="preserve"> Nie zabraknie muzyki dawnej (Ensemble La Morra)</w:t>
      </w:r>
      <w:r w:rsidR="009958BA">
        <w:t xml:space="preserve">, </w:t>
      </w:r>
      <w:r w:rsidR="00A84D7C">
        <w:t>jazzowej (</w:t>
      </w:r>
      <w:r w:rsidR="00BC290C">
        <w:t>Atom String Quartet</w:t>
      </w:r>
      <w:r w:rsidR="00347856">
        <w:t>)</w:t>
      </w:r>
      <w:r w:rsidR="009958BA">
        <w:t xml:space="preserve"> i </w:t>
      </w:r>
      <w:r w:rsidR="00287A90">
        <w:t xml:space="preserve">wydarzeń </w:t>
      </w:r>
      <w:r w:rsidR="00347856">
        <w:t>familijnych dla najmłodszych</w:t>
      </w:r>
      <w:r w:rsidR="00BB7C02">
        <w:t xml:space="preserve"> (Smykofonie, Bazylek)</w:t>
      </w:r>
      <w:r w:rsidR="00E52BCC">
        <w:t>.</w:t>
      </w:r>
    </w:p>
    <w:p w14:paraId="13B81499" w14:textId="2258BCB3" w:rsidR="0056311E" w:rsidRPr="0056311E" w:rsidRDefault="0056311E" w:rsidP="00ED3EE5">
      <w:pPr>
        <w:jc w:val="both"/>
        <w:rPr>
          <w:b/>
          <w:bCs/>
        </w:rPr>
      </w:pPr>
      <w:r w:rsidRPr="0056311E">
        <w:rPr>
          <w:b/>
          <w:bCs/>
        </w:rPr>
        <w:t>Plejada artystów</w:t>
      </w:r>
    </w:p>
    <w:p w14:paraId="1D2E7C9A" w14:textId="2CFEBC5E" w:rsidR="00922F16" w:rsidRDefault="00922F16" w:rsidP="00ED3EE5">
      <w:pPr>
        <w:jc w:val="both"/>
        <w:rPr>
          <w:rFonts w:eastAsia="Times New Roman" w:cstheme="minorHAnsi"/>
          <w:lang w:eastAsia="pl-PL"/>
        </w:rPr>
      </w:pPr>
      <w:r w:rsidRPr="00DB7130">
        <w:rPr>
          <w:rFonts w:eastAsia="Times New Roman" w:cstheme="minorHAnsi"/>
          <w:lang w:eastAsia="pl-PL"/>
        </w:rPr>
        <w:t xml:space="preserve">Wśród muzyków z Polski i zagranicy zaprezentują się takie osobowości, jak </w:t>
      </w:r>
      <w:r w:rsidRPr="00DB7130">
        <w:rPr>
          <w:rFonts w:eastAsia="Times New Roman" w:cstheme="minorHAnsi"/>
          <w:color w:val="201F1E"/>
          <w:lang w:eastAsia="pl-PL"/>
        </w:rPr>
        <w:t xml:space="preserve">Christian Danowicz, </w:t>
      </w:r>
      <w:r w:rsidRPr="00DB7130">
        <w:rPr>
          <w:rFonts w:eastAsia="Times New Roman" w:cstheme="minorHAnsi"/>
          <w:lang w:eastAsia="pl-PL"/>
        </w:rPr>
        <w:t xml:space="preserve">Matthias Loibner, Marta Maślanka, </w:t>
      </w:r>
      <w:r w:rsidRPr="00DB7130">
        <w:rPr>
          <w:rFonts w:eastAsia="Times New Roman" w:cstheme="minorHAnsi"/>
          <w:color w:val="201F1E"/>
          <w:lang w:eastAsia="pl-PL"/>
        </w:rPr>
        <w:t>Michał Micker,</w:t>
      </w:r>
      <w:r w:rsidRPr="00DB7130">
        <w:rPr>
          <w:rFonts w:eastAsia="Times New Roman" w:cstheme="minorHAnsi"/>
          <w:lang w:eastAsia="pl-PL"/>
        </w:rPr>
        <w:t xml:space="preserve"> Nataša Mirković, </w:t>
      </w:r>
      <w:r w:rsidRPr="00DB7130">
        <w:rPr>
          <w:rFonts w:eastAsia="Times New Roman" w:cstheme="minorHAnsi"/>
          <w:color w:val="201F1E"/>
          <w:lang w:eastAsia="pl-PL"/>
        </w:rPr>
        <w:t>Marcin Misiak</w:t>
      </w:r>
      <w:r w:rsidRPr="00DB7130">
        <w:rPr>
          <w:rFonts w:eastAsia="Times New Roman" w:cstheme="minorHAnsi"/>
          <w:lang w:eastAsia="pl-PL"/>
        </w:rPr>
        <w:t xml:space="preserve">, Jonas Vitaud, </w:t>
      </w:r>
      <w:r w:rsidRPr="00DB7130">
        <w:rPr>
          <w:rFonts w:eastAsia="Times New Roman" w:cstheme="minorHAnsi"/>
          <w:lang w:eastAsia="pl-PL"/>
        </w:rPr>
        <w:lastRenderedPageBreak/>
        <w:t xml:space="preserve">Tanguy de Williencourt i Agata Zubel. </w:t>
      </w:r>
      <w:r w:rsidR="0015455A">
        <w:rPr>
          <w:rFonts w:eastAsia="Times New Roman" w:cstheme="minorHAnsi"/>
          <w:lang w:eastAsia="pl-PL"/>
        </w:rPr>
        <w:t>Wystąpią także o</w:t>
      </w:r>
      <w:r w:rsidRPr="00DB7130">
        <w:rPr>
          <w:rFonts w:eastAsia="Times New Roman" w:cstheme="minorHAnsi"/>
          <w:lang w:eastAsia="pl-PL"/>
        </w:rPr>
        <w:t xml:space="preserve">rkiestry Sinfonia Varsovia, NFM Leopoldinum oraz Teatru Wielkiego </w:t>
      </w:r>
      <w:r w:rsidR="00614933">
        <w:rPr>
          <w:rFonts w:eastAsia="Times New Roman" w:cstheme="minorHAnsi"/>
          <w:lang w:eastAsia="pl-PL"/>
        </w:rPr>
        <w:t>-</w:t>
      </w:r>
      <w:r w:rsidRPr="00DB7130">
        <w:rPr>
          <w:rFonts w:eastAsia="Times New Roman" w:cstheme="minorHAnsi"/>
          <w:lang w:eastAsia="pl-PL"/>
        </w:rPr>
        <w:t xml:space="preserve"> Opery Narodowej</w:t>
      </w:r>
      <w:r w:rsidR="0015455A">
        <w:rPr>
          <w:rFonts w:eastAsia="Times New Roman" w:cstheme="minorHAnsi"/>
          <w:lang w:eastAsia="pl-PL"/>
        </w:rPr>
        <w:t>.</w:t>
      </w:r>
      <w:r w:rsidRPr="00DB7130">
        <w:rPr>
          <w:rFonts w:eastAsia="Times New Roman" w:cstheme="minorHAnsi"/>
          <w:lang w:eastAsia="pl-PL"/>
        </w:rPr>
        <w:t xml:space="preserve"> </w:t>
      </w:r>
      <w:r w:rsidR="0015455A">
        <w:rPr>
          <w:rFonts w:eastAsia="Times New Roman" w:cstheme="minorHAnsi"/>
          <w:lang w:eastAsia="pl-PL"/>
        </w:rPr>
        <w:t xml:space="preserve">Prowadzić je będą </w:t>
      </w:r>
      <w:r w:rsidRPr="00DB7130">
        <w:rPr>
          <w:rFonts w:eastAsia="Times New Roman" w:cstheme="minorHAnsi"/>
          <w:lang w:eastAsia="pl-PL"/>
        </w:rPr>
        <w:t>Jurek Dybał, Patrick Fournillier, Marta Gardolińska</w:t>
      </w:r>
      <w:r>
        <w:rPr>
          <w:rFonts w:eastAsia="Times New Roman" w:cstheme="minorHAnsi"/>
          <w:lang w:eastAsia="pl-PL"/>
        </w:rPr>
        <w:t>,</w:t>
      </w:r>
      <w:r w:rsidRPr="00DB7130">
        <w:rPr>
          <w:rFonts w:eastAsia="Times New Roman" w:cstheme="minorHAnsi"/>
          <w:lang w:eastAsia="pl-PL"/>
        </w:rPr>
        <w:t xml:space="preserve"> Michał Klauza, Ernst Kovacic, Yaroslav Shemet i Dirk Vermeulen.</w:t>
      </w:r>
      <w:r>
        <w:rPr>
          <w:rFonts w:eastAsia="Times New Roman" w:cstheme="minorHAnsi"/>
          <w:lang w:eastAsia="pl-PL"/>
        </w:rPr>
        <w:t xml:space="preserve"> </w:t>
      </w:r>
    </w:p>
    <w:p w14:paraId="640E54D6" w14:textId="0005C3ED" w:rsidR="00D601F4" w:rsidRDefault="00922F16" w:rsidP="00ED3EE5">
      <w:pPr>
        <w:jc w:val="both"/>
        <w:rPr>
          <w:rFonts w:eastAsia="Times New Roman" w:cstheme="minorHAnsi"/>
          <w:lang w:eastAsia="pl-PL"/>
        </w:rPr>
      </w:pPr>
      <w:r w:rsidRPr="00DB7130">
        <w:rPr>
          <w:rFonts w:eastAsia="Times New Roman" w:cstheme="minorHAnsi"/>
          <w:lang w:eastAsia="pl-PL"/>
        </w:rPr>
        <w:t xml:space="preserve">Usłyszeć będzie można także uznane kameralne zespoły, m.in. Kwartet Modigliani (Amaury Coeytaux, Loïc Rio, Laurent Marfaing, François Kieffer), </w:t>
      </w:r>
      <w:r w:rsidR="001E21A0" w:rsidRPr="001E21A0">
        <w:rPr>
          <w:rFonts w:eastAsia="Times New Roman" w:cstheme="minorHAnsi"/>
          <w:lang w:eastAsia="pl-PL"/>
        </w:rPr>
        <w:t xml:space="preserve"> </w:t>
      </w:r>
      <w:r w:rsidR="001E21A0" w:rsidRPr="00DB7130">
        <w:rPr>
          <w:rFonts w:eastAsia="Times New Roman" w:cstheme="minorHAnsi"/>
          <w:lang w:eastAsia="pl-PL"/>
        </w:rPr>
        <w:t>Trio Nebelmeer (Arthur Decaris, Albéric Boullenois, Loann Fourmental)</w:t>
      </w:r>
      <w:r w:rsidR="001E21A0">
        <w:rPr>
          <w:rFonts w:eastAsia="Times New Roman" w:cstheme="minorHAnsi"/>
          <w:lang w:eastAsia="pl-PL"/>
        </w:rPr>
        <w:t xml:space="preserve">, </w:t>
      </w:r>
      <w:r w:rsidRPr="00DB7130">
        <w:rPr>
          <w:rFonts w:eastAsia="Times New Roman" w:cstheme="minorHAnsi"/>
          <w:lang w:eastAsia="pl-PL"/>
        </w:rPr>
        <w:t>A</w:t>
      </w:r>
      <w:r w:rsidR="007E761A">
        <w:rPr>
          <w:rFonts w:eastAsia="Times New Roman" w:cstheme="minorHAnsi"/>
          <w:lang w:eastAsia="pl-PL"/>
        </w:rPr>
        <w:t xml:space="preserve">tom </w:t>
      </w:r>
      <w:r w:rsidRPr="00DB7130">
        <w:rPr>
          <w:rFonts w:eastAsia="Times New Roman" w:cstheme="minorHAnsi"/>
          <w:lang w:eastAsia="pl-PL"/>
        </w:rPr>
        <w:t>String Quartet (Dawid Lubowicz, Mateusz Smoczyński, Michał Zaborski, Krzysztof Lenczowski), Splot Quartet (Karolina Gutowska, Kornelia Grądzka, Agnieszka Podłucka, Dobrawa Czocher) i Ensemble La Morra (Doron Schleifer, Anna Danilevska</w:t>
      </w:r>
      <w:r w:rsidR="00796C62">
        <w:rPr>
          <w:rFonts w:eastAsia="Times New Roman" w:cstheme="minorHAnsi"/>
          <w:lang w:eastAsia="pl-PL"/>
        </w:rPr>
        <w:t>i</w:t>
      </w:r>
      <w:r w:rsidRPr="00DB7130">
        <w:rPr>
          <w:rFonts w:eastAsia="Times New Roman" w:cstheme="minorHAnsi"/>
          <w:lang w:eastAsia="pl-PL"/>
        </w:rPr>
        <w:t xml:space="preserve">a, Corina Marti, Michał Gondko). </w:t>
      </w:r>
    </w:p>
    <w:p w14:paraId="6EBAF8BD" w14:textId="6E38FAC7" w:rsidR="00CD181E" w:rsidRPr="00CD181E" w:rsidRDefault="00C6018B" w:rsidP="00ED3EE5">
      <w:pPr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Szalona</w:t>
      </w:r>
      <w:r w:rsidR="00CD181E" w:rsidRPr="00CD181E">
        <w:rPr>
          <w:rFonts w:eastAsia="Times New Roman" w:cstheme="minorHAnsi"/>
          <w:b/>
          <w:bCs/>
          <w:lang w:eastAsia="pl-PL"/>
        </w:rPr>
        <w:t xml:space="preserve"> idea festiwalu</w:t>
      </w:r>
    </w:p>
    <w:p w14:paraId="298E9DBB" w14:textId="65B90506" w:rsidR="00A306E0" w:rsidRDefault="00EF408D" w:rsidP="00ED3EE5">
      <w:pPr>
        <w:spacing w:line="276" w:lineRule="auto"/>
        <w:jc w:val="both"/>
        <w:rPr>
          <w:rFonts w:eastAsia="Times New Roman"/>
          <w:lang w:eastAsia="pl-PL"/>
        </w:rPr>
      </w:pPr>
      <w:r>
        <w:t xml:space="preserve">Jedenaście dotychczasowych </w:t>
      </w:r>
      <w:r w:rsidRPr="00494B34">
        <w:t>edycji</w:t>
      </w:r>
      <w:r>
        <w:t xml:space="preserve"> </w:t>
      </w:r>
      <w:r w:rsidRPr="00494B34">
        <w:t>polskiej</w:t>
      </w:r>
      <w:r>
        <w:t xml:space="preserve"> </w:t>
      </w:r>
      <w:r w:rsidRPr="00494B34">
        <w:t>odsłony</w:t>
      </w:r>
      <w:r>
        <w:t xml:space="preserve"> </w:t>
      </w:r>
      <w:r w:rsidRPr="00494B34">
        <w:t>Szalonych</w:t>
      </w:r>
      <w:r>
        <w:t xml:space="preserve"> </w:t>
      </w:r>
      <w:r w:rsidRPr="00494B34">
        <w:t>Dni</w:t>
      </w:r>
      <w:r>
        <w:t xml:space="preserve"> </w:t>
      </w:r>
      <w:r w:rsidRPr="00494B34">
        <w:t>Muzyki</w:t>
      </w:r>
      <w:r>
        <w:t xml:space="preserve"> </w:t>
      </w:r>
      <w:r w:rsidRPr="00494B34">
        <w:t>to</w:t>
      </w:r>
      <w:r>
        <w:t xml:space="preserve"> </w:t>
      </w:r>
      <w:r w:rsidRPr="00494B34">
        <w:t>ponad</w:t>
      </w:r>
      <w:r>
        <w:t xml:space="preserve"> 7</w:t>
      </w:r>
      <w:r w:rsidRPr="00494B34">
        <w:t>00</w:t>
      </w:r>
      <w:r>
        <w:t xml:space="preserve"> </w:t>
      </w:r>
      <w:r w:rsidRPr="00494B34">
        <w:t>występów</w:t>
      </w:r>
      <w:r>
        <w:t xml:space="preserve"> </w:t>
      </w:r>
      <w:r w:rsidRPr="00494B34">
        <w:t>z</w:t>
      </w:r>
      <w:r w:rsidR="006E048C">
        <w:t> </w:t>
      </w:r>
      <w:r w:rsidRPr="00494B34">
        <w:t>kilkoma</w:t>
      </w:r>
      <w:r>
        <w:t xml:space="preserve"> </w:t>
      </w:r>
      <w:r w:rsidRPr="00494B34">
        <w:t>tysiącami</w:t>
      </w:r>
      <w:r>
        <w:t xml:space="preserve"> </w:t>
      </w:r>
      <w:r w:rsidRPr="00494B34">
        <w:t>artystów,</w:t>
      </w:r>
      <w:r>
        <w:t xml:space="preserve"> </w:t>
      </w:r>
      <w:r w:rsidRPr="00494B34">
        <w:t>które</w:t>
      </w:r>
      <w:r>
        <w:t xml:space="preserve"> </w:t>
      </w:r>
      <w:r w:rsidRPr="00494B34">
        <w:t>przyciągnęły</w:t>
      </w:r>
      <w:r>
        <w:t xml:space="preserve"> </w:t>
      </w:r>
      <w:r w:rsidRPr="00494B34">
        <w:t>przeszło</w:t>
      </w:r>
      <w:r>
        <w:t xml:space="preserve"> </w:t>
      </w:r>
      <w:r w:rsidRPr="00494B34">
        <w:t>350</w:t>
      </w:r>
      <w:r>
        <w:t xml:space="preserve"> </w:t>
      </w:r>
      <w:r w:rsidRPr="00494B34">
        <w:t>tysięcy</w:t>
      </w:r>
      <w:r>
        <w:t xml:space="preserve"> </w:t>
      </w:r>
      <w:r w:rsidRPr="00494B34">
        <w:t>słuchaczy.</w:t>
      </w:r>
      <w:r>
        <w:t xml:space="preserve"> </w:t>
      </w:r>
      <w:r w:rsidRPr="00494B34">
        <w:t>Od</w:t>
      </w:r>
      <w:r>
        <w:t xml:space="preserve"> </w:t>
      </w:r>
      <w:r w:rsidRPr="00494B34">
        <w:t>początku</w:t>
      </w:r>
      <w:r>
        <w:t xml:space="preserve"> </w:t>
      </w:r>
      <w:r w:rsidRPr="00494B34">
        <w:t>koncerty</w:t>
      </w:r>
      <w:r>
        <w:t xml:space="preserve"> </w:t>
      </w:r>
      <w:r w:rsidRPr="00494B34">
        <w:t>odbywały</w:t>
      </w:r>
      <w:r>
        <w:t xml:space="preserve"> </w:t>
      </w:r>
      <w:r w:rsidRPr="00494B34">
        <w:t>się</w:t>
      </w:r>
      <w:r>
        <w:t xml:space="preserve"> </w:t>
      </w:r>
      <w:r w:rsidRPr="00494B34">
        <w:t>w</w:t>
      </w:r>
      <w:r>
        <w:t> </w:t>
      </w:r>
      <w:r w:rsidRPr="00494B34">
        <w:t>Teatrze</w:t>
      </w:r>
      <w:r>
        <w:t xml:space="preserve"> </w:t>
      </w:r>
      <w:r w:rsidRPr="00494B34">
        <w:t>Wielkim</w:t>
      </w:r>
      <w:r>
        <w:t xml:space="preserve"> </w:t>
      </w:r>
      <w:r w:rsidR="00614933">
        <w:t>-</w:t>
      </w:r>
      <w:r>
        <w:t xml:space="preserve"> </w:t>
      </w:r>
      <w:r w:rsidRPr="00494B34">
        <w:t>Operze</w:t>
      </w:r>
      <w:r>
        <w:t xml:space="preserve"> </w:t>
      </w:r>
      <w:r w:rsidRPr="00494B34">
        <w:t>Narodowej,</w:t>
      </w:r>
      <w:r>
        <w:t xml:space="preserve"> </w:t>
      </w:r>
      <w:r w:rsidRPr="00494B34">
        <w:t>a</w:t>
      </w:r>
      <w:r>
        <w:t xml:space="preserve"> </w:t>
      </w:r>
      <w:r w:rsidRPr="00494B34">
        <w:t>głównym</w:t>
      </w:r>
      <w:r>
        <w:t xml:space="preserve"> </w:t>
      </w:r>
      <w:r w:rsidRPr="00494B34">
        <w:t>organizatorem</w:t>
      </w:r>
      <w:r>
        <w:t xml:space="preserve"> </w:t>
      </w:r>
      <w:r w:rsidRPr="00494B34">
        <w:t>była</w:t>
      </w:r>
      <w:r>
        <w:t xml:space="preserve"> </w:t>
      </w:r>
      <w:r w:rsidRPr="00494B34">
        <w:t>Sinfonia</w:t>
      </w:r>
      <w:r>
        <w:t xml:space="preserve"> </w:t>
      </w:r>
      <w:r w:rsidRPr="00494B34">
        <w:t>Varsovia.</w:t>
      </w:r>
      <w:r>
        <w:t xml:space="preserve"> </w:t>
      </w:r>
    </w:p>
    <w:p w14:paraId="5FDEE99C" w14:textId="5221D612" w:rsidR="00653EAC" w:rsidRPr="00DB7130" w:rsidRDefault="001E21A0" w:rsidP="00ED3EE5">
      <w:pPr>
        <w:tabs>
          <w:tab w:val="left" w:pos="0"/>
        </w:tabs>
        <w:suppressAutoHyphens/>
        <w:jc w:val="both"/>
      </w:pPr>
      <w:r>
        <w:t>Centralną</w:t>
      </w:r>
      <w:r w:rsidR="00653EAC" w:rsidRPr="00DB7130">
        <w:t xml:space="preserve"> myślą festiwalu jest przełamywanie barier dzielących słuchaczy od muzyki klasycznej poprzez</w:t>
      </w:r>
      <w:r w:rsidR="006E048C">
        <w:t> </w:t>
      </w:r>
      <w:r w:rsidR="00653EAC" w:rsidRPr="00DB7130">
        <w:t>zachęcanie i ułatwianie odbiorcom udziału w koncertach przy jednoczesnym utrzymywaniu prezentacji muzyki na możliwie najwyższym poziomie. Krótkie koncerty odbywające się od rana do</w:t>
      </w:r>
      <w:r w:rsidR="006E048C">
        <w:t> </w:t>
      </w:r>
      <w:r w:rsidR="00653EAC" w:rsidRPr="00DB7130">
        <w:t>wieczora w kilku salach jednocześnie, niskie ceny biletów i wyjątkowa atmosfera sprawiają, że</w:t>
      </w:r>
      <w:r w:rsidR="00A5753F">
        <w:t> </w:t>
      </w:r>
      <w:r w:rsidR="00653EAC" w:rsidRPr="00DB7130">
        <w:t>Szalone Dni Muzyki to spotkania z muzyką, na które zaproszony jest każdy, bez wyjątku.</w:t>
      </w:r>
    </w:p>
    <w:p w14:paraId="307B0B65" w14:textId="51012B59" w:rsidR="00DB798F" w:rsidRPr="00DB7130" w:rsidRDefault="00EF408D" w:rsidP="00ED3EE5">
      <w:pPr>
        <w:spacing w:line="276" w:lineRule="auto"/>
        <w:jc w:val="both"/>
      </w:pPr>
      <w:r w:rsidRPr="00494B34">
        <w:rPr>
          <w:rFonts w:eastAsia="Times New Roman"/>
          <w:lang w:eastAsia="pl-PL"/>
        </w:rPr>
        <w:t>Szalone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Dni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Muzyki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narodziły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się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we</w:t>
      </w:r>
      <w:r>
        <w:rPr>
          <w:rFonts w:eastAsia="Times New Roman"/>
          <w:lang w:eastAsia="pl-PL"/>
        </w:rPr>
        <w:t xml:space="preserve"> </w:t>
      </w:r>
      <w:r w:rsidRPr="00494B34">
        <w:rPr>
          <w:rFonts w:eastAsia="Times New Roman"/>
          <w:lang w:eastAsia="pl-PL"/>
        </w:rPr>
        <w:t>Francji</w:t>
      </w:r>
      <w:r w:rsidR="001A5F20">
        <w:rPr>
          <w:rFonts w:eastAsia="Times New Roman"/>
          <w:lang w:eastAsia="pl-PL"/>
        </w:rPr>
        <w:t xml:space="preserve"> jako </w:t>
      </w:r>
      <w:r w:rsidR="001A5F20" w:rsidRPr="001A5F20">
        <w:rPr>
          <w:rFonts w:eastAsia="Times New Roman"/>
          <w:lang w:eastAsia="pl-PL"/>
        </w:rPr>
        <w:t>La Folle Journée</w:t>
      </w:r>
      <w:r w:rsidR="00F949D5">
        <w:rPr>
          <w:rFonts w:eastAsia="Times New Roman"/>
          <w:lang w:eastAsia="pl-PL"/>
        </w:rPr>
        <w:t>. P</w:t>
      </w:r>
      <w:r w:rsidR="002955B3" w:rsidRPr="00DB7130">
        <w:t xml:space="preserve">omysłodawcą i dyrektorem artystycznym </w:t>
      </w:r>
      <w:r w:rsidR="00F949D5">
        <w:t xml:space="preserve">festiwalu </w:t>
      </w:r>
      <w:r w:rsidR="002955B3" w:rsidRPr="00DB7130">
        <w:t>jest René Martin</w:t>
      </w:r>
      <w:r w:rsidR="002955B3">
        <w:t>,</w:t>
      </w:r>
      <w:r>
        <w:rPr>
          <w:rFonts w:eastAsia="Times New Roman"/>
          <w:lang w:eastAsia="pl-PL"/>
        </w:rPr>
        <w:t xml:space="preserve"> </w:t>
      </w:r>
      <w:r w:rsidRPr="002955B3">
        <w:rPr>
          <w:rFonts w:eastAsia="Times New Roman"/>
          <w:lang w:eastAsia="pl-PL"/>
        </w:rPr>
        <w:t xml:space="preserve">a organizatorem </w:t>
      </w:r>
      <w:r w:rsidR="002955B3">
        <w:rPr>
          <w:rFonts w:eastAsia="Times New Roman"/>
          <w:lang w:eastAsia="pl-PL"/>
        </w:rPr>
        <w:t xml:space="preserve">– </w:t>
      </w:r>
      <w:r w:rsidRPr="002955B3">
        <w:t>Centre de Réalisations et d'Études Artistiques à Nantes (CRÉA).</w:t>
      </w:r>
      <w:r w:rsidRPr="002955B3">
        <w:rPr>
          <w:rFonts w:eastAsia="Times New Roman"/>
          <w:lang w:eastAsia="pl-PL"/>
        </w:rPr>
        <w:t xml:space="preserve"> </w:t>
      </w:r>
      <w:r w:rsidR="00F949D5">
        <w:rPr>
          <w:rFonts w:eastAsia="Times New Roman"/>
          <w:lang w:eastAsia="pl-PL"/>
        </w:rPr>
        <w:t xml:space="preserve">Po raz pierwszy </w:t>
      </w:r>
      <w:r w:rsidR="00B161E7">
        <w:rPr>
          <w:rFonts w:eastAsia="Times New Roman"/>
          <w:lang w:eastAsia="pl-PL"/>
        </w:rPr>
        <w:t xml:space="preserve">festiwal </w:t>
      </w:r>
      <w:r w:rsidR="00F949D5">
        <w:rPr>
          <w:rFonts w:eastAsia="Times New Roman"/>
          <w:lang w:eastAsia="pl-PL"/>
        </w:rPr>
        <w:t xml:space="preserve">odbył się w Nantes </w:t>
      </w:r>
      <w:r w:rsidR="00F949D5" w:rsidRPr="00494B34">
        <w:rPr>
          <w:rFonts w:eastAsia="Times New Roman"/>
          <w:lang w:eastAsia="pl-PL"/>
        </w:rPr>
        <w:t>w</w:t>
      </w:r>
      <w:r w:rsidR="00F949D5">
        <w:rPr>
          <w:rFonts w:eastAsia="Times New Roman"/>
          <w:lang w:eastAsia="pl-PL"/>
        </w:rPr>
        <w:t xml:space="preserve"> </w:t>
      </w:r>
      <w:r w:rsidR="00F949D5" w:rsidRPr="00494B34">
        <w:rPr>
          <w:rFonts w:eastAsia="Times New Roman"/>
          <w:lang w:eastAsia="pl-PL"/>
        </w:rPr>
        <w:t>1995</w:t>
      </w:r>
      <w:r w:rsidR="00F949D5">
        <w:rPr>
          <w:rFonts w:eastAsia="Times New Roman"/>
          <w:lang w:eastAsia="pl-PL"/>
        </w:rPr>
        <w:t xml:space="preserve"> </w:t>
      </w:r>
      <w:r w:rsidR="00F949D5" w:rsidRPr="00494B34">
        <w:rPr>
          <w:rFonts w:eastAsia="Times New Roman"/>
          <w:lang w:eastAsia="pl-PL"/>
        </w:rPr>
        <w:t>roku</w:t>
      </w:r>
      <w:r w:rsidR="00F949D5">
        <w:rPr>
          <w:rFonts w:eastAsia="Times New Roman"/>
          <w:lang w:eastAsia="pl-PL"/>
        </w:rPr>
        <w:t xml:space="preserve">, </w:t>
      </w:r>
      <w:r w:rsidR="00F949D5" w:rsidRPr="00DB7130">
        <w:t xml:space="preserve">ale </w:t>
      </w:r>
      <w:r w:rsidR="00B161E7">
        <w:t xml:space="preserve">jego </w:t>
      </w:r>
      <w:r w:rsidR="00F949D5" w:rsidRPr="00DB7130">
        <w:t>idea szybko przekroczyła granice Francji</w:t>
      </w:r>
      <w:r w:rsidR="008C75E6">
        <w:t xml:space="preserve"> i</w:t>
      </w:r>
      <w:r w:rsidR="00F949D5" w:rsidRPr="00DB7130">
        <w:t xml:space="preserve"> </w:t>
      </w:r>
      <w:r w:rsidR="008C75E6">
        <w:t>n</w:t>
      </w:r>
      <w:r w:rsidR="00F949D5" w:rsidRPr="00DB7130">
        <w:t>a przestrzeni lat stał się prawdziwie międzynarodowym muzycznym fenomenem</w:t>
      </w:r>
      <w:r w:rsidR="00F949D5">
        <w:rPr>
          <w:rFonts w:eastAsia="Times New Roman"/>
          <w:lang w:eastAsia="pl-PL"/>
        </w:rPr>
        <w:t>.</w:t>
      </w:r>
    </w:p>
    <w:p w14:paraId="59044449" w14:textId="77777777" w:rsidR="00E9600F" w:rsidRDefault="00E9600F" w:rsidP="00ED3EE5">
      <w:pPr>
        <w:jc w:val="both"/>
      </w:pPr>
    </w:p>
    <w:p w14:paraId="4EAC23D8" w14:textId="23CF0BCC" w:rsidR="00661F8D" w:rsidRDefault="005746C0" w:rsidP="00ED3EE5">
      <w:pPr>
        <w:jc w:val="both"/>
      </w:pPr>
      <w:r w:rsidRPr="00DB7130">
        <w:t>Bilety w cenach 20</w:t>
      </w:r>
      <w:r w:rsidR="00047277">
        <w:t>–</w:t>
      </w:r>
      <w:r w:rsidRPr="00DB7130">
        <w:t>30 zł</w:t>
      </w:r>
      <w:r w:rsidR="00047277">
        <w:t xml:space="preserve"> w sprzedaży od 1 września</w:t>
      </w:r>
      <w:r w:rsidRPr="00DB7130">
        <w:t>.</w:t>
      </w:r>
      <w:r w:rsidR="00047277">
        <w:t xml:space="preserve"> Więcej informacji niebawem na stronie festiwalu</w:t>
      </w:r>
      <w:r w:rsidR="00C06EF9">
        <w:t>:</w:t>
      </w:r>
      <w:r w:rsidR="00047277">
        <w:t xml:space="preserve"> </w:t>
      </w:r>
      <w:hyperlink r:id="rId10" w:history="1">
        <w:r w:rsidR="00047277" w:rsidRPr="008E6A37">
          <w:rPr>
            <w:rStyle w:val="Hipercze"/>
          </w:rPr>
          <w:t>www.szalonednimuzyki.pl</w:t>
        </w:r>
      </w:hyperlink>
      <w:r w:rsidR="00047277">
        <w:t>.</w:t>
      </w:r>
    </w:p>
    <w:p w14:paraId="211F9CA4" w14:textId="77777777" w:rsidR="00E9600F" w:rsidRDefault="00E9600F">
      <w:r>
        <w:br w:type="page"/>
      </w:r>
    </w:p>
    <w:tbl>
      <w:tblPr>
        <w:tblStyle w:val="Tabela-Siatka"/>
        <w:tblW w:w="9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32"/>
        <w:gridCol w:w="2368"/>
        <w:gridCol w:w="2163"/>
        <w:gridCol w:w="782"/>
      </w:tblGrid>
      <w:tr w:rsidR="00EF6598" w14:paraId="5A3F981D" w14:textId="77777777" w:rsidTr="00614933">
        <w:trPr>
          <w:gridAfter w:val="1"/>
          <w:wAfter w:w="782" w:type="dxa"/>
        </w:trPr>
        <w:tc>
          <w:tcPr>
            <w:tcW w:w="4226" w:type="dxa"/>
            <w:gridSpan w:val="2"/>
          </w:tcPr>
          <w:p w14:paraId="3908D7A9" w14:textId="0DABCBE9" w:rsidR="00EF6598" w:rsidRPr="00E9600F" w:rsidRDefault="00E9600F" w:rsidP="00E22D84">
            <w:pPr>
              <w:rPr>
                <w:b/>
                <w:bCs/>
              </w:rPr>
            </w:pPr>
            <w:r w:rsidRPr="00E9600F">
              <w:rPr>
                <w:b/>
                <w:bCs/>
              </w:rPr>
              <w:lastRenderedPageBreak/>
              <w:t>Organizator:</w:t>
            </w:r>
            <w:r w:rsidR="00EF6598" w:rsidRPr="00E9600F">
              <w:rPr>
                <w:b/>
                <w:bCs/>
                <w:noProof/>
              </w:rPr>
              <w:drawing>
                <wp:inline distT="0" distB="0" distL="0" distR="0" wp14:anchorId="7AF054B7" wp14:editId="70EEF793">
                  <wp:extent cx="2407313" cy="1209675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756" cy="121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2"/>
            <w:vAlign w:val="center"/>
          </w:tcPr>
          <w:p w14:paraId="0CE55621" w14:textId="77777777" w:rsidR="003A6044" w:rsidRDefault="003A6044" w:rsidP="00D03D6F"/>
          <w:p w14:paraId="234647DC" w14:textId="5BD4C70E" w:rsidR="00EF6598" w:rsidRDefault="00EF6598" w:rsidP="00D03D6F">
            <w:r>
              <w:t xml:space="preserve">Szalone Dni Muzyki realizowane są </w:t>
            </w:r>
            <w:r w:rsidRPr="00DB7130">
              <w:t>ze środków m.st. Warszawy</w:t>
            </w:r>
            <w:r>
              <w:t>.</w:t>
            </w:r>
          </w:p>
        </w:tc>
      </w:tr>
      <w:tr w:rsidR="00C4193B" w:rsidRPr="00CA794E" w14:paraId="6AAB0A3C" w14:textId="77777777" w:rsidTr="00614933">
        <w:tc>
          <w:tcPr>
            <w:tcW w:w="2694" w:type="dxa"/>
            <w:vAlign w:val="center"/>
          </w:tcPr>
          <w:p w14:paraId="6882C838" w14:textId="77777777" w:rsidR="00E9600F" w:rsidRDefault="00E9600F" w:rsidP="00E9600F"/>
          <w:p w14:paraId="1C1F7E01" w14:textId="77777777" w:rsidR="00E87C4A" w:rsidRDefault="00E87C4A" w:rsidP="00E9600F"/>
          <w:p w14:paraId="5F80C315" w14:textId="703626FE" w:rsidR="00C4193B" w:rsidRPr="00E9600F" w:rsidRDefault="00C4193B" w:rsidP="00E9600F">
            <w:pPr>
              <w:rPr>
                <w:b/>
                <w:bCs/>
              </w:rPr>
            </w:pPr>
            <w:r w:rsidRPr="00E9600F">
              <w:rPr>
                <w:b/>
                <w:bCs/>
              </w:rPr>
              <w:t>Współorganizatorzy:</w:t>
            </w:r>
          </w:p>
        </w:tc>
        <w:tc>
          <w:tcPr>
            <w:tcW w:w="3900" w:type="dxa"/>
            <w:gridSpan w:val="2"/>
            <w:vAlign w:val="center"/>
          </w:tcPr>
          <w:p w14:paraId="69C8DC89" w14:textId="77777777" w:rsidR="00C4193B" w:rsidRPr="00CA794E" w:rsidRDefault="00C4193B" w:rsidP="00E9600F">
            <w:pPr>
              <w:rPr>
                <w:lang w:val="en-GB"/>
              </w:rPr>
            </w:pPr>
          </w:p>
        </w:tc>
        <w:tc>
          <w:tcPr>
            <w:tcW w:w="2945" w:type="dxa"/>
            <w:gridSpan w:val="2"/>
            <w:vAlign w:val="center"/>
          </w:tcPr>
          <w:p w14:paraId="59C160CA" w14:textId="792BC7D9" w:rsidR="00C4193B" w:rsidRPr="00E9600F" w:rsidRDefault="00C4193B" w:rsidP="00E9600F">
            <w:pPr>
              <w:rPr>
                <w:b/>
                <w:bCs/>
                <w:lang w:val="en-GB"/>
              </w:rPr>
            </w:pPr>
            <w:r w:rsidRPr="00E9600F">
              <w:rPr>
                <w:b/>
                <w:bCs/>
                <w:lang w:val="en-GB"/>
              </w:rPr>
              <w:t>Współorganizator</w:t>
            </w:r>
            <w:r w:rsidR="00E9600F" w:rsidRPr="00E9600F">
              <w:rPr>
                <w:b/>
                <w:bCs/>
                <w:lang w:val="en-GB"/>
              </w:rPr>
              <w:br/>
            </w:r>
            <w:r w:rsidRPr="00E9600F">
              <w:rPr>
                <w:b/>
                <w:bCs/>
                <w:lang w:val="en-GB"/>
              </w:rPr>
              <w:t>wydarzeń dla dzieci:</w:t>
            </w:r>
          </w:p>
        </w:tc>
      </w:tr>
      <w:tr w:rsidR="00C4193B" w14:paraId="358E842C" w14:textId="77777777" w:rsidTr="00614933">
        <w:tc>
          <w:tcPr>
            <w:tcW w:w="2694" w:type="dxa"/>
            <w:vAlign w:val="center"/>
          </w:tcPr>
          <w:p w14:paraId="3EB48C5E" w14:textId="77777777" w:rsidR="00C4193B" w:rsidRDefault="00C4193B" w:rsidP="00E9600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715B42" wp14:editId="12C6D390">
                  <wp:extent cx="1105200" cy="1080000"/>
                  <wp:effectExtent l="0" t="0" r="0" b="6350"/>
                  <wp:docPr id="6" name="Obraz 6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79D38E" w14:textId="77777777" w:rsidR="00C4193B" w:rsidRDefault="00C4193B" w:rsidP="00E9600F">
            <w:pPr>
              <w:jc w:val="center"/>
            </w:pPr>
          </w:p>
        </w:tc>
        <w:tc>
          <w:tcPr>
            <w:tcW w:w="3900" w:type="dxa"/>
            <w:gridSpan w:val="2"/>
            <w:vAlign w:val="center"/>
          </w:tcPr>
          <w:p w14:paraId="6FB5CD84" w14:textId="77777777" w:rsidR="00C4193B" w:rsidRDefault="00C4193B" w:rsidP="00E9600F">
            <w:r>
              <w:rPr>
                <w:noProof/>
              </w:rPr>
              <w:drawing>
                <wp:inline distT="0" distB="0" distL="0" distR="0" wp14:anchorId="70AEF3F5" wp14:editId="02D1E423">
                  <wp:extent cx="1440000" cy="352800"/>
                  <wp:effectExtent l="0" t="0" r="8255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5" w:type="dxa"/>
            <w:gridSpan w:val="2"/>
            <w:vAlign w:val="center"/>
          </w:tcPr>
          <w:p w14:paraId="2C9A467A" w14:textId="2790CA7A" w:rsidR="00C4193B" w:rsidRDefault="00E9600F" w:rsidP="00E9600F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="00C4193B">
              <w:rPr>
                <w:noProof/>
              </w:rPr>
              <w:drawing>
                <wp:inline distT="0" distB="0" distL="0" distR="0" wp14:anchorId="4929B601" wp14:editId="18276A00">
                  <wp:extent cx="810292" cy="895350"/>
                  <wp:effectExtent l="0" t="0" r="889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8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6E40E" w14:textId="77777777" w:rsidR="00C4193B" w:rsidRDefault="00C4193B" w:rsidP="005746C0">
      <w:pPr>
        <w:spacing w:after="0"/>
      </w:pPr>
    </w:p>
    <w:p w14:paraId="4FCF7FE9" w14:textId="77777777" w:rsidR="009E0F2D" w:rsidRDefault="009E0F2D" w:rsidP="005746C0">
      <w:pPr>
        <w:spacing w:after="0"/>
      </w:pPr>
    </w:p>
    <w:tbl>
      <w:tblPr>
        <w:tblStyle w:val="Tabela-Siatka"/>
        <w:tblW w:w="8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70"/>
      </w:tblGrid>
      <w:tr w:rsidR="00644C72" w14:paraId="53B04D83" w14:textId="77777777" w:rsidTr="00644C72">
        <w:trPr>
          <w:trHeight w:val="434"/>
        </w:trPr>
        <w:tc>
          <w:tcPr>
            <w:tcW w:w="3544" w:type="dxa"/>
            <w:vAlign w:val="center"/>
          </w:tcPr>
          <w:p w14:paraId="34AC8518" w14:textId="70A92537" w:rsidR="00644C72" w:rsidRPr="00E9600F" w:rsidRDefault="00644C72" w:rsidP="00E9600F">
            <w:pPr>
              <w:spacing w:after="120"/>
              <w:rPr>
                <w:b/>
                <w:bCs/>
              </w:rPr>
            </w:pPr>
            <w:r w:rsidRPr="00E9600F">
              <w:rPr>
                <w:b/>
                <w:bCs/>
              </w:rPr>
              <w:t>Partner Główny:</w:t>
            </w:r>
          </w:p>
        </w:tc>
        <w:tc>
          <w:tcPr>
            <w:tcW w:w="5270" w:type="dxa"/>
            <w:vAlign w:val="center"/>
          </w:tcPr>
          <w:p w14:paraId="597AB64B" w14:textId="414A7B61" w:rsidR="00644C72" w:rsidRPr="00E9600F" w:rsidRDefault="00644C72" w:rsidP="00E9600F">
            <w:pPr>
              <w:spacing w:after="120"/>
              <w:rPr>
                <w:b/>
                <w:bCs/>
              </w:rPr>
            </w:pPr>
            <w:r w:rsidRPr="00E9600F">
              <w:rPr>
                <w:b/>
                <w:bCs/>
              </w:rPr>
              <w:t>Partnerzy strategiczni:</w:t>
            </w:r>
          </w:p>
        </w:tc>
      </w:tr>
      <w:tr w:rsidR="00644C72" w14:paraId="071DC1F5" w14:textId="77777777" w:rsidTr="00644C72">
        <w:trPr>
          <w:trHeight w:val="2537"/>
        </w:trPr>
        <w:tc>
          <w:tcPr>
            <w:tcW w:w="3544" w:type="dxa"/>
            <w:vAlign w:val="center"/>
          </w:tcPr>
          <w:p w14:paraId="19745182" w14:textId="33F5F55D" w:rsidR="00644C72" w:rsidRDefault="00644C72" w:rsidP="00E9600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D2BDE2" wp14:editId="18CB83C9">
                  <wp:extent cx="961200" cy="1440000"/>
                  <wp:effectExtent l="0" t="0" r="0" b="825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0" w:type="dxa"/>
            <w:vAlign w:val="center"/>
          </w:tcPr>
          <w:p w14:paraId="1E679722" w14:textId="00D35AAF" w:rsidR="00644C72" w:rsidRDefault="00644C72" w:rsidP="00E9600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D9E1E" wp14:editId="15C4693F">
                  <wp:extent cx="2138045" cy="1058404"/>
                  <wp:effectExtent l="0" t="0" r="0" b="889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134" cy="106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E45672" w14:textId="77777777" w:rsidR="00F12227" w:rsidRDefault="00F12227" w:rsidP="00234F94">
      <w:pPr>
        <w:spacing w:after="0"/>
      </w:pPr>
    </w:p>
    <w:p w14:paraId="5EA6167A" w14:textId="671914F7" w:rsidR="00105DE9" w:rsidRDefault="00105DE9" w:rsidP="00234F94">
      <w:pPr>
        <w:spacing w:after="0"/>
      </w:pPr>
    </w:p>
    <w:p w14:paraId="67D94183" w14:textId="258E473C" w:rsidR="00FE1C0F" w:rsidRPr="00071295" w:rsidRDefault="00FE1C0F" w:rsidP="00234F94">
      <w:pPr>
        <w:spacing w:after="0"/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6"/>
        <w:gridCol w:w="2496"/>
        <w:gridCol w:w="4080"/>
      </w:tblGrid>
      <w:tr w:rsidR="00071295" w14:paraId="00C2A1A3" w14:textId="77777777" w:rsidTr="00E9600F">
        <w:tc>
          <w:tcPr>
            <w:tcW w:w="2496" w:type="dxa"/>
            <w:vAlign w:val="center"/>
          </w:tcPr>
          <w:p w14:paraId="5E091692" w14:textId="45BF97EC" w:rsidR="00071295" w:rsidRDefault="00071295" w:rsidP="00572C3D">
            <w:pPr>
              <w:rPr>
                <w:noProof/>
              </w:rPr>
            </w:pPr>
            <w:r w:rsidRPr="00071295">
              <w:rPr>
                <w:b/>
                <w:bCs/>
              </w:rPr>
              <w:t>Partnerzy:</w:t>
            </w:r>
          </w:p>
        </w:tc>
        <w:tc>
          <w:tcPr>
            <w:tcW w:w="2319" w:type="dxa"/>
            <w:vAlign w:val="center"/>
          </w:tcPr>
          <w:p w14:paraId="1DB3C1B9" w14:textId="77777777" w:rsidR="00071295" w:rsidRDefault="00071295" w:rsidP="00E9600F">
            <w:pPr>
              <w:jc w:val="center"/>
              <w:rPr>
                <w:noProof/>
              </w:rPr>
            </w:pPr>
          </w:p>
        </w:tc>
        <w:tc>
          <w:tcPr>
            <w:tcW w:w="4247" w:type="dxa"/>
            <w:vAlign w:val="center"/>
          </w:tcPr>
          <w:p w14:paraId="141B9227" w14:textId="77777777" w:rsidR="00071295" w:rsidRDefault="00071295" w:rsidP="00E9600F"/>
        </w:tc>
      </w:tr>
      <w:tr w:rsidR="00EF6598" w14:paraId="60A8A43C" w14:textId="24033D5B" w:rsidTr="00E9600F">
        <w:tc>
          <w:tcPr>
            <w:tcW w:w="2496" w:type="dxa"/>
            <w:vAlign w:val="center"/>
          </w:tcPr>
          <w:p w14:paraId="342D2E81" w14:textId="51FD70C1" w:rsidR="00EF6598" w:rsidRDefault="00BA696D" w:rsidP="00E9600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DB840B" wp14:editId="3A654B00">
                  <wp:extent cx="1440000" cy="594000"/>
                  <wp:effectExtent l="0" t="0" r="8255" b="0"/>
                  <wp:docPr id="15" name="Obraz 15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5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vAlign w:val="center"/>
          </w:tcPr>
          <w:p w14:paraId="445DE1B5" w14:textId="31B0E363" w:rsidR="00EF6598" w:rsidRDefault="00BA696D" w:rsidP="00E9600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100921" wp14:editId="043B31BA">
                  <wp:extent cx="1440000" cy="831600"/>
                  <wp:effectExtent l="0" t="0" r="8255" b="6985"/>
                  <wp:docPr id="10" name="Obraz 10" descr="Obraz zawierający stół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 descr="Obraz zawierający stół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vAlign w:val="center"/>
          </w:tcPr>
          <w:p w14:paraId="2B5595B7" w14:textId="21A4C92F" w:rsidR="00EF6598" w:rsidRDefault="00EF6598" w:rsidP="00E9600F">
            <w:pPr>
              <w:rPr>
                <w:noProof/>
              </w:rPr>
            </w:pPr>
            <w:r>
              <w:t>Zadanie dofinansowano ze środków Ministra Kultury i Dziedzictwa Narodowego. Zrealizowano we współpracy z Narodowym Centrum Kultury.</w:t>
            </w:r>
          </w:p>
        </w:tc>
      </w:tr>
    </w:tbl>
    <w:p w14:paraId="18F3F4CB" w14:textId="77777777" w:rsidR="00EF6598" w:rsidRDefault="00EF6598" w:rsidP="00234F94">
      <w:pPr>
        <w:spacing w:after="0"/>
        <w:rPr>
          <w:noProof/>
        </w:rPr>
      </w:pPr>
    </w:p>
    <w:p w14:paraId="3D5C8580" w14:textId="5C8DCCF1" w:rsidR="00042288" w:rsidRDefault="00042288" w:rsidP="00234F94">
      <w:pPr>
        <w:spacing w:after="0"/>
      </w:pPr>
    </w:p>
    <w:p w14:paraId="6D4C8B3F" w14:textId="77777777" w:rsidR="00020EFD" w:rsidRDefault="00020EFD" w:rsidP="00234F94">
      <w:pPr>
        <w:spacing w:after="0"/>
      </w:pPr>
    </w:p>
    <w:p w14:paraId="2D5C909C" w14:textId="6E939BAA" w:rsidR="00042288" w:rsidRDefault="00042288" w:rsidP="00234F94">
      <w:pPr>
        <w:spacing w:after="0"/>
      </w:pPr>
    </w:p>
    <w:p w14:paraId="6F18DE1F" w14:textId="2DFDA93C" w:rsidR="005746C0" w:rsidRDefault="005746C0" w:rsidP="005746C0">
      <w:pPr>
        <w:spacing w:after="0"/>
      </w:pPr>
    </w:p>
    <w:sectPr w:rsidR="005746C0" w:rsidSect="00821830">
      <w:headerReference w:type="first" r:id="rId19"/>
      <w:footerReference w:type="first" r:id="rId20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1E8B" w14:textId="77777777" w:rsidR="00821830" w:rsidRDefault="00821830" w:rsidP="00821830">
      <w:pPr>
        <w:spacing w:after="0" w:line="240" w:lineRule="auto"/>
      </w:pPr>
      <w:r>
        <w:separator/>
      </w:r>
    </w:p>
  </w:endnote>
  <w:endnote w:type="continuationSeparator" w:id="0">
    <w:p w14:paraId="516D9F5D" w14:textId="77777777" w:rsidR="00821830" w:rsidRDefault="00821830" w:rsidP="00821830">
      <w:pPr>
        <w:spacing w:after="0" w:line="240" w:lineRule="auto"/>
      </w:pPr>
      <w:r>
        <w:continuationSeparator/>
      </w:r>
    </w:p>
  </w:endnote>
  <w:endnote w:type="continuationNotice" w:id="1">
    <w:p w14:paraId="6D3BBB82" w14:textId="77777777" w:rsidR="00A6596F" w:rsidRDefault="00A659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647F3" w14:textId="3D44FDF2" w:rsidR="00821830" w:rsidRDefault="00821830">
    <w:pPr>
      <w:pStyle w:val="Stopka"/>
    </w:pPr>
    <w:r>
      <w:rPr>
        <w:noProof/>
      </w:rPr>
      <w:drawing>
        <wp:anchor distT="0" distB="0" distL="114300" distR="114300" simplePos="0" relativeHeight="251658242" behindDoc="1" locked="1" layoutInCell="1" allowOverlap="1" wp14:anchorId="6B8FAB94" wp14:editId="212FAE78">
          <wp:simplePos x="0" y="0"/>
          <wp:positionH relativeFrom="page">
            <wp:posOffset>5760720</wp:posOffset>
          </wp:positionH>
          <wp:positionV relativeFrom="page">
            <wp:posOffset>9872345</wp:posOffset>
          </wp:positionV>
          <wp:extent cx="1688465" cy="477520"/>
          <wp:effectExtent l="0" t="0" r="0" b="0"/>
          <wp:wrapTight wrapText="bothSides">
            <wp:wrapPolygon edited="0">
              <wp:start x="1219" y="2585"/>
              <wp:lineTo x="731" y="15511"/>
              <wp:lineTo x="2681" y="17234"/>
              <wp:lineTo x="13647" y="18957"/>
              <wp:lineTo x="14866" y="18957"/>
              <wp:lineTo x="20715" y="14649"/>
              <wp:lineTo x="20715" y="7755"/>
              <wp:lineTo x="14866" y="2585"/>
              <wp:lineTo x="1219" y="2585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01B63119" wp14:editId="74C82408">
          <wp:simplePos x="0" y="0"/>
          <wp:positionH relativeFrom="page">
            <wp:posOffset>18415</wp:posOffset>
          </wp:positionH>
          <wp:positionV relativeFrom="page">
            <wp:posOffset>9791700</wp:posOffset>
          </wp:positionV>
          <wp:extent cx="5733415" cy="684530"/>
          <wp:effectExtent l="0" t="0" r="635" b="1270"/>
          <wp:wrapSquare wrapText="bothSides"/>
          <wp:docPr id="13" name="Obraz 13" descr="A close up of a sig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A close up of a sign&#10;&#10;Description automatically generated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9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831423" w14:textId="77777777" w:rsidR="00821830" w:rsidRDefault="00821830">
    <w:pPr>
      <w:pStyle w:val="Stopka"/>
    </w:pPr>
  </w:p>
  <w:p w14:paraId="31D9EE91" w14:textId="77777777" w:rsidR="00821830" w:rsidRDefault="00821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776E" w14:textId="77777777" w:rsidR="00821830" w:rsidRDefault="00821830" w:rsidP="00821830">
      <w:pPr>
        <w:spacing w:after="0" w:line="240" w:lineRule="auto"/>
      </w:pPr>
      <w:r>
        <w:separator/>
      </w:r>
    </w:p>
  </w:footnote>
  <w:footnote w:type="continuationSeparator" w:id="0">
    <w:p w14:paraId="5B8C353F" w14:textId="77777777" w:rsidR="00821830" w:rsidRDefault="00821830" w:rsidP="00821830">
      <w:pPr>
        <w:spacing w:after="0" w:line="240" w:lineRule="auto"/>
      </w:pPr>
      <w:r>
        <w:continuationSeparator/>
      </w:r>
    </w:p>
  </w:footnote>
  <w:footnote w:type="continuationNotice" w:id="1">
    <w:p w14:paraId="30EA0AF1" w14:textId="77777777" w:rsidR="00A6596F" w:rsidRDefault="00A659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75AD" w14:textId="4D8E47B9" w:rsidR="00821830" w:rsidRDefault="0082183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ABC411" wp14:editId="5B89B915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1" name="Obraz 1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32E83BD9" w14:textId="77777777" w:rsidR="00821830" w:rsidRDefault="00821830">
    <w:pPr>
      <w:pStyle w:val="Nagwek"/>
    </w:pPr>
  </w:p>
  <w:p w14:paraId="484CAE07" w14:textId="77777777" w:rsidR="00821830" w:rsidRDefault="008218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FF"/>
    <w:rsid w:val="000065A2"/>
    <w:rsid w:val="00014451"/>
    <w:rsid w:val="00020EFD"/>
    <w:rsid w:val="000377AA"/>
    <w:rsid w:val="00040271"/>
    <w:rsid w:val="00042288"/>
    <w:rsid w:val="00047277"/>
    <w:rsid w:val="00051810"/>
    <w:rsid w:val="00063FEA"/>
    <w:rsid w:val="000673ED"/>
    <w:rsid w:val="00071295"/>
    <w:rsid w:val="000717EB"/>
    <w:rsid w:val="00077C81"/>
    <w:rsid w:val="00084A8B"/>
    <w:rsid w:val="000C0A32"/>
    <w:rsid w:val="000C3F3D"/>
    <w:rsid w:val="000E1C1F"/>
    <w:rsid w:val="000E25AB"/>
    <w:rsid w:val="0010071D"/>
    <w:rsid w:val="00102CF9"/>
    <w:rsid w:val="0010315B"/>
    <w:rsid w:val="00105B33"/>
    <w:rsid w:val="00105DE9"/>
    <w:rsid w:val="001066A3"/>
    <w:rsid w:val="00116AC9"/>
    <w:rsid w:val="00116D3C"/>
    <w:rsid w:val="00136C06"/>
    <w:rsid w:val="001443F5"/>
    <w:rsid w:val="00147406"/>
    <w:rsid w:val="0015455A"/>
    <w:rsid w:val="00154A39"/>
    <w:rsid w:val="0015584B"/>
    <w:rsid w:val="00165D0E"/>
    <w:rsid w:val="001679D7"/>
    <w:rsid w:val="001945E8"/>
    <w:rsid w:val="0019532D"/>
    <w:rsid w:val="001A11B1"/>
    <w:rsid w:val="001A5556"/>
    <w:rsid w:val="001A5F20"/>
    <w:rsid w:val="001D40BD"/>
    <w:rsid w:val="001E21A0"/>
    <w:rsid w:val="001E4BB0"/>
    <w:rsid w:val="001F5F82"/>
    <w:rsid w:val="001F7B3F"/>
    <w:rsid w:val="0020005E"/>
    <w:rsid w:val="00204F18"/>
    <w:rsid w:val="0021564A"/>
    <w:rsid w:val="002178C9"/>
    <w:rsid w:val="00227100"/>
    <w:rsid w:val="002339EC"/>
    <w:rsid w:val="00234F94"/>
    <w:rsid w:val="002518F7"/>
    <w:rsid w:val="0025414C"/>
    <w:rsid w:val="00257FCD"/>
    <w:rsid w:val="0026326F"/>
    <w:rsid w:val="00266514"/>
    <w:rsid w:val="00267EBF"/>
    <w:rsid w:val="00287A90"/>
    <w:rsid w:val="002955B3"/>
    <w:rsid w:val="002A34C2"/>
    <w:rsid w:val="002C4014"/>
    <w:rsid w:val="002C40D3"/>
    <w:rsid w:val="002D0E3A"/>
    <w:rsid w:val="002D2015"/>
    <w:rsid w:val="002E3618"/>
    <w:rsid w:val="002E38E8"/>
    <w:rsid w:val="003030D8"/>
    <w:rsid w:val="00307C4B"/>
    <w:rsid w:val="00322A23"/>
    <w:rsid w:val="00340AD6"/>
    <w:rsid w:val="00343B6C"/>
    <w:rsid w:val="00347856"/>
    <w:rsid w:val="00355BAA"/>
    <w:rsid w:val="0035721B"/>
    <w:rsid w:val="00367A0E"/>
    <w:rsid w:val="00370090"/>
    <w:rsid w:val="003831EB"/>
    <w:rsid w:val="00383C99"/>
    <w:rsid w:val="00390E3A"/>
    <w:rsid w:val="00397C6F"/>
    <w:rsid w:val="003A0987"/>
    <w:rsid w:val="003A56BF"/>
    <w:rsid w:val="003A6044"/>
    <w:rsid w:val="003B50CD"/>
    <w:rsid w:val="003B557A"/>
    <w:rsid w:val="003E49E4"/>
    <w:rsid w:val="003F6EE9"/>
    <w:rsid w:val="00403C0C"/>
    <w:rsid w:val="00406D2E"/>
    <w:rsid w:val="0042008A"/>
    <w:rsid w:val="00461DFA"/>
    <w:rsid w:val="00485021"/>
    <w:rsid w:val="004C6205"/>
    <w:rsid w:val="004D051A"/>
    <w:rsid w:val="004D1145"/>
    <w:rsid w:val="00504B1A"/>
    <w:rsid w:val="00512256"/>
    <w:rsid w:val="005139EB"/>
    <w:rsid w:val="00516A24"/>
    <w:rsid w:val="00521A35"/>
    <w:rsid w:val="00523638"/>
    <w:rsid w:val="00525546"/>
    <w:rsid w:val="0053297C"/>
    <w:rsid w:val="00535F79"/>
    <w:rsid w:val="00537869"/>
    <w:rsid w:val="00542245"/>
    <w:rsid w:val="0056311E"/>
    <w:rsid w:val="0056705A"/>
    <w:rsid w:val="00572C3D"/>
    <w:rsid w:val="005746C0"/>
    <w:rsid w:val="00575AA7"/>
    <w:rsid w:val="005762D0"/>
    <w:rsid w:val="00594D0B"/>
    <w:rsid w:val="005A1236"/>
    <w:rsid w:val="005B4F33"/>
    <w:rsid w:val="005B5EA4"/>
    <w:rsid w:val="005D4CCE"/>
    <w:rsid w:val="005E3227"/>
    <w:rsid w:val="005F74C1"/>
    <w:rsid w:val="00604091"/>
    <w:rsid w:val="00607692"/>
    <w:rsid w:val="00614933"/>
    <w:rsid w:val="00644C72"/>
    <w:rsid w:val="00646D80"/>
    <w:rsid w:val="00653EAC"/>
    <w:rsid w:val="0065400B"/>
    <w:rsid w:val="00661F8D"/>
    <w:rsid w:val="00676991"/>
    <w:rsid w:val="006806B2"/>
    <w:rsid w:val="006826B6"/>
    <w:rsid w:val="006878A8"/>
    <w:rsid w:val="006B3478"/>
    <w:rsid w:val="006C286A"/>
    <w:rsid w:val="006E048C"/>
    <w:rsid w:val="006E15CE"/>
    <w:rsid w:val="006F5D84"/>
    <w:rsid w:val="006F6441"/>
    <w:rsid w:val="00703FE2"/>
    <w:rsid w:val="007213CF"/>
    <w:rsid w:val="0072751D"/>
    <w:rsid w:val="007535DE"/>
    <w:rsid w:val="00753833"/>
    <w:rsid w:val="00772399"/>
    <w:rsid w:val="00796C62"/>
    <w:rsid w:val="007A4101"/>
    <w:rsid w:val="007B03FE"/>
    <w:rsid w:val="007B2AFF"/>
    <w:rsid w:val="007C3B5F"/>
    <w:rsid w:val="007D08F1"/>
    <w:rsid w:val="007E18B9"/>
    <w:rsid w:val="007E761A"/>
    <w:rsid w:val="007F1D90"/>
    <w:rsid w:val="007F5994"/>
    <w:rsid w:val="00821830"/>
    <w:rsid w:val="00821B60"/>
    <w:rsid w:val="00830617"/>
    <w:rsid w:val="00831148"/>
    <w:rsid w:val="00844461"/>
    <w:rsid w:val="00844B3A"/>
    <w:rsid w:val="00846742"/>
    <w:rsid w:val="0085290E"/>
    <w:rsid w:val="00857360"/>
    <w:rsid w:val="00864805"/>
    <w:rsid w:val="00880809"/>
    <w:rsid w:val="00886E19"/>
    <w:rsid w:val="008872F5"/>
    <w:rsid w:val="008B02D5"/>
    <w:rsid w:val="008C253B"/>
    <w:rsid w:val="008C75E6"/>
    <w:rsid w:val="008F3145"/>
    <w:rsid w:val="008F6A57"/>
    <w:rsid w:val="00915917"/>
    <w:rsid w:val="00916BE3"/>
    <w:rsid w:val="00920258"/>
    <w:rsid w:val="00922F16"/>
    <w:rsid w:val="00922FC8"/>
    <w:rsid w:val="00981E4C"/>
    <w:rsid w:val="009934CB"/>
    <w:rsid w:val="009958BA"/>
    <w:rsid w:val="009B0FE4"/>
    <w:rsid w:val="009E0F2D"/>
    <w:rsid w:val="009E4797"/>
    <w:rsid w:val="009E6FAB"/>
    <w:rsid w:val="00A23B3E"/>
    <w:rsid w:val="00A25653"/>
    <w:rsid w:val="00A25D70"/>
    <w:rsid w:val="00A306E0"/>
    <w:rsid w:val="00A34D84"/>
    <w:rsid w:val="00A427DF"/>
    <w:rsid w:val="00A527BE"/>
    <w:rsid w:val="00A5753F"/>
    <w:rsid w:val="00A620EB"/>
    <w:rsid w:val="00A632DF"/>
    <w:rsid w:val="00A6596F"/>
    <w:rsid w:val="00A67D2F"/>
    <w:rsid w:val="00A7415E"/>
    <w:rsid w:val="00A84D7C"/>
    <w:rsid w:val="00A86351"/>
    <w:rsid w:val="00A9261C"/>
    <w:rsid w:val="00AA258F"/>
    <w:rsid w:val="00AC34A1"/>
    <w:rsid w:val="00AF1F9A"/>
    <w:rsid w:val="00B132C7"/>
    <w:rsid w:val="00B136D4"/>
    <w:rsid w:val="00B161E7"/>
    <w:rsid w:val="00B22DF3"/>
    <w:rsid w:val="00B32172"/>
    <w:rsid w:val="00B418E7"/>
    <w:rsid w:val="00B63E4C"/>
    <w:rsid w:val="00B667FF"/>
    <w:rsid w:val="00BA1B42"/>
    <w:rsid w:val="00BA696D"/>
    <w:rsid w:val="00BB7C02"/>
    <w:rsid w:val="00BC06BB"/>
    <w:rsid w:val="00BC290C"/>
    <w:rsid w:val="00BD750A"/>
    <w:rsid w:val="00BE181E"/>
    <w:rsid w:val="00C037D1"/>
    <w:rsid w:val="00C06EF9"/>
    <w:rsid w:val="00C23C59"/>
    <w:rsid w:val="00C24D2C"/>
    <w:rsid w:val="00C25B60"/>
    <w:rsid w:val="00C4193B"/>
    <w:rsid w:val="00C45944"/>
    <w:rsid w:val="00C459AA"/>
    <w:rsid w:val="00C45B82"/>
    <w:rsid w:val="00C53702"/>
    <w:rsid w:val="00C57BF9"/>
    <w:rsid w:val="00C6018B"/>
    <w:rsid w:val="00C66089"/>
    <w:rsid w:val="00C879AE"/>
    <w:rsid w:val="00CA4E23"/>
    <w:rsid w:val="00CA4E81"/>
    <w:rsid w:val="00CA794E"/>
    <w:rsid w:val="00CB05D6"/>
    <w:rsid w:val="00CC0682"/>
    <w:rsid w:val="00CD181E"/>
    <w:rsid w:val="00CF60AB"/>
    <w:rsid w:val="00D03D6F"/>
    <w:rsid w:val="00D07F30"/>
    <w:rsid w:val="00D5444D"/>
    <w:rsid w:val="00D56E5B"/>
    <w:rsid w:val="00D57A8C"/>
    <w:rsid w:val="00D601F4"/>
    <w:rsid w:val="00D63F2A"/>
    <w:rsid w:val="00D65518"/>
    <w:rsid w:val="00DA25FA"/>
    <w:rsid w:val="00DB7130"/>
    <w:rsid w:val="00DB798F"/>
    <w:rsid w:val="00DC17E1"/>
    <w:rsid w:val="00DC3B1E"/>
    <w:rsid w:val="00DE251A"/>
    <w:rsid w:val="00DE66F6"/>
    <w:rsid w:val="00E20411"/>
    <w:rsid w:val="00E22D84"/>
    <w:rsid w:val="00E31684"/>
    <w:rsid w:val="00E32034"/>
    <w:rsid w:val="00E3323A"/>
    <w:rsid w:val="00E467CA"/>
    <w:rsid w:val="00E52BCC"/>
    <w:rsid w:val="00E63FDA"/>
    <w:rsid w:val="00E71624"/>
    <w:rsid w:val="00E734ED"/>
    <w:rsid w:val="00E87C4A"/>
    <w:rsid w:val="00E9600F"/>
    <w:rsid w:val="00EA5661"/>
    <w:rsid w:val="00EA5E30"/>
    <w:rsid w:val="00EA6C77"/>
    <w:rsid w:val="00EA7692"/>
    <w:rsid w:val="00EB098A"/>
    <w:rsid w:val="00EB0B9C"/>
    <w:rsid w:val="00EC7B2F"/>
    <w:rsid w:val="00ED3EE5"/>
    <w:rsid w:val="00EF408D"/>
    <w:rsid w:val="00EF6598"/>
    <w:rsid w:val="00EF7BF7"/>
    <w:rsid w:val="00F00B07"/>
    <w:rsid w:val="00F07C05"/>
    <w:rsid w:val="00F12227"/>
    <w:rsid w:val="00F136DD"/>
    <w:rsid w:val="00F179C0"/>
    <w:rsid w:val="00F33B0C"/>
    <w:rsid w:val="00F44DED"/>
    <w:rsid w:val="00F51534"/>
    <w:rsid w:val="00F66126"/>
    <w:rsid w:val="00F858C9"/>
    <w:rsid w:val="00F91C77"/>
    <w:rsid w:val="00F949D5"/>
    <w:rsid w:val="00FA509A"/>
    <w:rsid w:val="00FD4B9C"/>
    <w:rsid w:val="00FE1C0F"/>
    <w:rsid w:val="00FE70BF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D92161"/>
  <w15:chartTrackingRefBased/>
  <w15:docId w15:val="{1D498419-302D-4535-A4A6-14446E0F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34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4C2"/>
    <w:rPr>
      <w:color w:val="605E5C"/>
      <w:shd w:val="clear" w:color="auto" w:fill="E1DFDD"/>
    </w:rPr>
  </w:style>
  <w:style w:type="character" w:customStyle="1" w:styleId="tb">
    <w:name w:val="_tb"/>
    <w:basedOn w:val="Domylnaczcionkaakapitu"/>
    <w:rsid w:val="00BD750A"/>
  </w:style>
  <w:style w:type="character" w:styleId="Odwoaniedokomentarza">
    <w:name w:val="annotation reference"/>
    <w:basedOn w:val="Domylnaczcionkaakapitu"/>
    <w:uiPriority w:val="99"/>
    <w:semiHidden/>
    <w:unhideWhenUsed/>
    <w:rsid w:val="0034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A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5181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21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30"/>
  </w:style>
  <w:style w:type="paragraph" w:styleId="Stopka">
    <w:name w:val="footer"/>
    <w:basedOn w:val="Normalny"/>
    <w:link w:val="StopkaZnak"/>
    <w:uiPriority w:val="99"/>
    <w:unhideWhenUsed/>
    <w:rsid w:val="00821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30"/>
  </w:style>
  <w:style w:type="table" w:styleId="Tabela-Siatka">
    <w:name w:val="Table Grid"/>
    <w:basedOn w:val="Standardowy"/>
    <w:uiPriority w:val="39"/>
    <w:rsid w:val="00CA7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087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hyperlink" Target="http://www.szalonednimuzyki.pl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2A328C0E-9845-4092-A822-A822CCADE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121328-CC07-4776-B34E-FD5A39DEB1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9A7748-E856-466E-942E-F6E45AA0F2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A4A58-6390-44A3-9F47-CE646B99F2A4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83</cp:revision>
  <dcterms:created xsi:type="dcterms:W3CDTF">2022-07-15T13:48:00Z</dcterms:created>
  <dcterms:modified xsi:type="dcterms:W3CDTF">2022-07-19T11:01:00Z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