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32975" w14:textId="065F0373" w:rsidR="00F1002D" w:rsidRPr="00960D62" w:rsidRDefault="00EF0937" w:rsidP="00537BF7">
      <w:pPr>
        <w:pStyle w:val="NormalnyWeb"/>
        <w:spacing w:before="0" w:beforeAutospacing="0" w:after="0" w:afterAutospacing="0"/>
        <w:jc w:val="right"/>
        <w:textAlignment w:val="baseline"/>
        <w:rPr>
          <w:rFonts w:ascii="Aptos Display" w:hAnsi="Aptos Display" w:cs="Calibri"/>
          <w:sz w:val="20"/>
          <w:szCs w:val="20"/>
        </w:rPr>
      </w:pPr>
      <w:r w:rsidRPr="00960D62">
        <w:rPr>
          <w:rFonts w:ascii="Aptos Display" w:hAnsi="Aptos Display" w:cs="Calibri"/>
          <w:sz w:val="20"/>
          <w:szCs w:val="20"/>
        </w:rPr>
        <w:t>Warsaw</w:t>
      </w:r>
      <w:r w:rsidRPr="00542855">
        <w:rPr>
          <w:rFonts w:ascii="Aptos Display" w:hAnsi="Aptos Display" w:cs="Calibri"/>
          <w:sz w:val="20"/>
          <w:szCs w:val="20"/>
        </w:rPr>
        <w:t>,</w:t>
      </w:r>
      <w:r w:rsidR="006B48A2" w:rsidRPr="00542855">
        <w:rPr>
          <w:rFonts w:ascii="Aptos Display" w:hAnsi="Aptos Display" w:cs="Calibri"/>
          <w:sz w:val="20"/>
          <w:szCs w:val="20"/>
        </w:rPr>
        <w:t xml:space="preserve"> </w:t>
      </w:r>
      <w:r w:rsidR="00542855" w:rsidRPr="00542855">
        <w:rPr>
          <w:rFonts w:ascii="Aptos Display" w:hAnsi="Aptos Display" w:cs="Calibri"/>
          <w:sz w:val="20"/>
          <w:szCs w:val="20"/>
        </w:rPr>
        <w:t>13</w:t>
      </w:r>
      <w:r w:rsidR="00D94704" w:rsidRPr="00542855">
        <w:rPr>
          <w:rFonts w:ascii="Aptos Display" w:hAnsi="Aptos Display" w:cs="Calibri"/>
          <w:sz w:val="20"/>
          <w:szCs w:val="20"/>
        </w:rPr>
        <w:t xml:space="preserve"> </w:t>
      </w:r>
      <w:r w:rsidR="0005417F" w:rsidRPr="00542855">
        <w:rPr>
          <w:rFonts w:ascii="Aptos Display" w:hAnsi="Aptos Display" w:cs="Calibri"/>
          <w:sz w:val="20"/>
          <w:szCs w:val="20"/>
        </w:rPr>
        <w:t>May</w:t>
      </w:r>
      <w:r w:rsidR="00D94704" w:rsidRPr="00542855">
        <w:rPr>
          <w:rFonts w:ascii="Aptos Display" w:hAnsi="Aptos Display" w:cs="Calibri"/>
          <w:sz w:val="20"/>
          <w:szCs w:val="20"/>
        </w:rPr>
        <w:t xml:space="preserve"> 2025</w:t>
      </w:r>
    </w:p>
    <w:p w14:paraId="410C240B" w14:textId="0B65E8E0" w:rsidR="00EF0937" w:rsidRPr="00960D62" w:rsidRDefault="0005417F" w:rsidP="00537BF7">
      <w:pPr>
        <w:pStyle w:val="NormalnyWeb"/>
        <w:spacing w:before="0" w:beforeAutospacing="0" w:after="0" w:afterAutospacing="0"/>
        <w:jc w:val="right"/>
        <w:textAlignment w:val="baseline"/>
        <w:rPr>
          <w:rFonts w:ascii="Aptos Display" w:hAnsi="Aptos Display" w:cs="Calibri"/>
          <w:sz w:val="20"/>
          <w:szCs w:val="20"/>
        </w:rPr>
      </w:pPr>
      <w:r w:rsidRPr="00960D62">
        <w:rPr>
          <w:rFonts w:ascii="Aptos Display" w:hAnsi="Aptos Display" w:cs="Calibri"/>
          <w:sz w:val="20"/>
          <w:szCs w:val="20"/>
        </w:rPr>
        <w:t>Press release</w:t>
      </w:r>
    </w:p>
    <w:p w14:paraId="313D3BB6" w14:textId="77777777" w:rsidR="00EF0937" w:rsidRPr="00960D62" w:rsidRDefault="00EF0937" w:rsidP="00537BF7">
      <w:pPr>
        <w:pStyle w:val="NormalnyWeb"/>
        <w:spacing w:before="0" w:beforeAutospacing="0" w:after="0" w:afterAutospacing="0"/>
        <w:jc w:val="both"/>
        <w:textAlignment w:val="baseline"/>
        <w:rPr>
          <w:rFonts w:ascii="Aptos Display" w:hAnsi="Aptos Display" w:cs="Calibri"/>
          <w:sz w:val="20"/>
          <w:szCs w:val="20"/>
        </w:rPr>
      </w:pPr>
    </w:p>
    <w:p w14:paraId="4CFEC156" w14:textId="034F9FEB" w:rsidR="00EF0937" w:rsidRPr="00960D62" w:rsidRDefault="005F1481" w:rsidP="00537BF7">
      <w:pPr>
        <w:pStyle w:val="NormalnyWeb"/>
        <w:spacing w:before="0" w:beforeAutospacing="0" w:after="0" w:afterAutospacing="0"/>
        <w:jc w:val="center"/>
        <w:textAlignment w:val="baseline"/>
        <w:rPr>
          <w:rFonts w:ascii="Aptos Display" w:hAnsi="Aptos Display" w:cs="Calibri"/>
          <w:b/>
          <w:bCs/>
          <w:sz w:val="32"/>
          <w:szCs w:val="32"/>
        </w:rPr>
      </w:pPr>
      <w:r w:rsidRPr="00960D62">
        <w:rPr>
          <w:rFonts w:ascii="Aptos Display" w:hAnsi="Aptos Display" w:cs="Calibri"/>
          <w:b/>
          <w:bCs/>
          <w:sz w:val="32"/>
          <w:szCs w:val="32"/>
        </w:rPr>
        <w:t>Tender Launched</w:t>
      </w:r>
      <w:r w:rsidR="00C14707" w:rsidRPr="00960D62">
        <w:rPr>
          <w:rFonts w:ascii="Aptos Display" w:hAnsi="Aptos Display" w:cs="Calibri"/>
          <w:b/>
          <w:bCs/>
          <w:sz w:val="32"/>
          <w:szCs w:val="32"/>
        </w:rPr>
        <w:t xml:space="preserve"> fo</w:t>
      </w:r>
      <w:r w:rsidR="006B13F0" w:rsidRPr="00960D62">
        <w:rPr>
          <w:rFonts w:ascii="Aptos Display" w:hAnsi="Aptos Display" w:cs="Calibri"/>
          <w:b/>
          <w:bCs/>
          <w:sz w:val="32"/>
          <w:szCs w:val="32"/>
        </w:rPr>
        <w:t>r</w:t>
      </w:r>
      <w:r w:rsidR="00C14707" w:rsidRPr="00960D62">
        <w:rPr>
          <w:rFonts w:ascii="Aptos Display" w:hAnsi="Aptos Display" w:cs="Calibri"/>
          <w:b/>
          <w:bCs/>
          <w:sz w:val="32"/>
          <w:szCs w:val="32"/>
        </w:rPr>
        <w:t xml:space="preserve"> the Construction of the Largest Concert Hall</w:t>
      </w:r>
      <w:r w:rsidR="006B13F0" w:rsidRPr="00960D62">
        <w:rPr>
          <w:rFonts w:ascii="Aptos Display" w:hAnsi="Aptos Display" w:cs="Calibri"/>
          <w:b/>
          <w:bCs/>
          <w:sz w:val="32"/>
          <w:szCs w:val="32"/>
        </w:rPr>
        <w:t xml:space="preserve"> in Poland</w:t>
      </w:r>
    </w:p>
    <w:p w14:paraId="3FF72F29" w14:textId="77777777" w:rsidR="005A0F93" w:rsidRPr="00960D62" w:rsidRDefault="005A0F93" w:rsidP="00537BF7">
      <w:pPr>
        <w:jc w:val="both"/>
        <w:rPr>
          <w:rFonts w:ascii="Aptos Display" w:hAnsi="Aptos Display"/>
        </w:rPr>
      </w:pPr>
    </w:p>
    <w:p w14:paraId="12C04184" w14:textId="38642B1A" w:rsidR="006B13F0" w:rsidRPr="00960D62" w:rsidRDefault="006B13F0" w:rsidP="00537BF7">
      <w:pPr>
        <w:jc w:val="both"/>
        <w:rPr>
          <w:rFonts w:ascii="Aptos Display" w:hAnsi="Aptos Display"/>
          <w:b/>
          <w:bCs/>
        </w:rPr>
      </w:pPr>
      <w:r w:rsidRPr="00960D62">
        <w:rPr>
          <w:rFonts w:ascii="Aptos Display" w:hAnsi="Aptos Display"/>
          <w:b/>
          <w:bCs/>
        </w:rPr>
        <w:t xml:space="preserve">Sinfonia </w:t>
      </w:r>
      <w:proofErr w:type="spellStart"/>
      <w:r w:rsidRPr="00960D62">
        <w:rPr>
          <w:rFonts w:ascii="Aptos Display" w:hAnsi="Aptos Display"/>
          <w:b/>
          <w:bCs/>
        </w:rPr>
        <w:t>Varsovia’s</w:t>
      </w:r>
      <w:proofErr w:type="spellEnd"/>
      <w:r w:rsidRPr="00960D62">
        <w:rPr>
          <w:rFonts w:ascii="Aptos Display" w:hAnsi="Aptos Display"/>
          <w:b/>
          <w:bCs/>
        </w:rPr>
        <w:t xml:space="preserve"> long-held dream of a permanent home is drawing closer to fulfilment. The institution is now embarking on the second phase of its landmark development: the construction of the largest concert hall in Poland, scheduled to open in 2030. On </w:t>
      </w:r>
      <w:r w:rsidR="00542855" w:rsidRPr="00542855">
        <w:rPr>
          <w:rFonts w:ascii="Aptos Display" w:hAnsi="Aptos Display"/>
          <w:b/>
          <w:bCs/>
        </w:rPr>
        <w:t>13</w:t>
      </w:r>
      <w:r w:rsidRPr="00960D62">
        <w:rPr>
          <w:rFonts w:ascii="Aptos Display" w:hAnsi="Aptos Display"/>
          <w:b/>
          <w:bCs/>
        </w:rPr>
        <w:t xml:space="preserve"> May, Sinfonia </w:t>
      </w:r>
      <w:proofErr w:type="spellStart"/>
      <w:r w:rsidRPr="00960D62">
        <w:rPr>
          <w:rFonts w:ascii="Aptos Display" w:hAnsi="Aptos Display"/>
          <w:b/>
          <w:bCs/>
        </w:rPr>
        <w:t>Varsovia</w:t>
      </w:r>
      <w:proofErr w:type="spellEnd"/>
      <w:r w:rsidRPr="00960D62">
        <w:rPr>
          <w:rFonts w:ascii="Aptos Display" w:hAnsi="Aptos Display"/>
          <w:b/>
          <w:bCs/>
        </w:rPr>
        <w:t xml:space="preserve"> launched a tender for the general contractor to carry out this stage of the project. Applications to participate in the tender process may be submitted until</w:t>
      </w:r>
      <w:r w:rsidR="00BD7E4F">
        <w:rPr>
          <w:rFonts w:ascii="Aptos Display" w:hAnsi="Aptos Display"/>
          <w:b/>
          <w:bCs/>
        </w:rPr>
        <w:t xml:space="preserve"> 30 June 2025</w:t>
      </w:r>
      <w:r w:rsidRPr="00960D62">
        <w:rPr>
          <w:rFonts w:ascii="Aptos Display" w:hAnsi="Aptos Display"/>
          <w:b/>
          <w:bCs/>
        </w:rPr>
        <w:t>.</w:t>
      </w:r>
    </w:p>
    <w:p w14:paraId="6BA291B2" w14:textId="51838D54" w:rsidR="005D7142" w:rsidRPr="00960D62" w:rsidRDefault="009C6AFA" w:rsidP="00537BF7">
      <w:pPr>
        <w:jc w:val="both"/>
        <w:rPr>
          <w:rFonts w:ascii="Aptos Display" w:hAnsi="Aptos Display"/>
          <w:b/>
          <w:bCs/>
        </w:rPr>
      </w:pPr>
      <w:r w:rsidRPr="00960D62">
        <w:rPr>
          <w:rFonts w:ascii="Aptos Display" w:hAnsi="Aptos Display"/>
          <w:b/>
          <w:bCs/>
        </w:rPr>
        <w:t>Project background</w:t>
      </w:r>
    </w:p>
    <w:p w14:paraId="0B64C3C0" w14:textId="3031D504" w:rsidR="00250119" w:rsidRPr="00960D62" w:rsidRDefault="00250119" w:rsidP="00275C18">
      <w:pPr>
        <w:jc w:val="both"/>
        <w:rPr>
          <w:rFonts w:ascii="Aptos Display" w:hAnsi="Aptos Display"/>
        </w:rPr>
      </w:pPr>
      <w:r w:rsidRPr="00960D62">
        <w:rPr>
          <w:rFonts w:ascii="Aptos Display" w:hAnsi="Aptos Display"/>
        </w:rPr>
        <w:t xml:space="preserve">In 2010, an international architectural competition was held to design a major concert hall and develop the site at 272 Grochowska Street in Warsaw. The winning proposal, selected by the jury, came from Atelier Thomas Pucher of Graz. In April 2019, Sinfonia </w:t>
      </w:r>
      <w:proofErr w:type="spellStart"/>
      <w:r w:rsidRPr="00960D62">
        <w:rPr>
          <w:rFonts w:ascii="Aptos Display" w:hAnsi="Aptos Display"/>
        </w:rPr>
        <w:t>Varsovia’s</w:t>
      </w:r>
      <w:proofErr w:type="spellEnd"/>
      <w:r w:rsidRPr="00960D62">
        <w:rPr>
          <w:rFonts w:ascii="Aptos Display" w:hAnsi="Aptos Display"/>
        </w:rPr>
        <w:t xml:space="preserve"> music centre received planning permission, and in 2023 a contract was signed for construction work on the first phase of the project. The next step is to select, via competitive tender, a general contractor responsible for the second phase – including the construction of a concert hall with 1,877 seats and the renovation of two historic outbuildi</w:t>
      </w:r>
      <w:r w:rsidR="005758F5" w:rsidRPr="00960D62">
        <w:rPr>
          <w:rFonts w:ascii="Aptos Display" w:hAnsi="Aptos Display"/>
        </w:rPr>
        <w:t>ngs.</w:t>
      </w:r>
    </w:p>
    <w:p w14:paraId="0A3D36E3" w14:textId="77777777" w:rsidR="009377E7" w:rsidRPr="00960D62" w:rsidRDefault="009377E7" w:rsidP="00537BF7">
      <w:pPr>
        <w:jc w:val="both"/>
        <w:rPr>
          <w:rFonts w:ascii="Aptos Display" w:hAnsi="Aptos Display"/>
        </w:rPr>
      </w:pPr>
      <w:r w:rsidRPr="00960D62">
        <w:rPr>
          <w:rFonts w:ascii="Aptos Display" w:hAnsi="Aptos Display"/>
        </w:rPr>
        <w:t xml:space="preserve">The aim is to create a new cultural hub in Warsaw, centred around Sinfonia </w:t>
      </w:r>
      <w:proofErr w:type="spellStart"/>
      <w:r w:rsidRPr="00960D62">
        <w:rPr>
          <w:rFonts w:ascii="Aptos Display" w:hAnsi="Aptos Display"/>
        </w:rPr>
        <w:t>Varsovia</w:t>
      </w:r>
      <w:proofErr w:type="spellEnd"/>
      <w:r w:rsidRPr="00960D62">
        <w:rPr>
          <w:rFonts w:ascii="Aptos Display" w:hAnsi="Aptos Display"/>
        </w:rPr>
        <w:t xml:space="preserve"> – an orchestra of international renown. This will be a place not only for presenting the arts, but also for leisure and community engagement. The site will include concert halls, educational spaces, a café, a restaurant and a garden connected to the adjacent park. A promenade suspended 21 metres above ground will offer panoramic views of the local area and city centre. With its new home, Sinfonia </w:t>
      </w:r>
      <w:proofErr w:type="spellStart"/>
      <w:r w:rsidRPr="00960D62">
        <w:rPr>
          <w:rFonts w:ascii="Aptos Display" w:hAnsi="Aptos Display"/>
        </w:rPr>
        <w:t>Varsovia</w:t>
      </w:r>
      <w:proofErr w:type="spellEnd"/>
      <w:r w:rsidRPr="00960D62">
        <w:rPr>
          <w:rFonts w:ascii="Aptos Display" w:hAnsi="Aptos Display"/>
        </w:rPr>
        <w:t xml:space="preserve"> intends to become a venue for international events featuring both Polish and international artists, welcoming audiences from all walks of life.</w:t>
      </w:r>
    </w:p>
    <w:p w14:paraId="3E81C06A" w14:textId="7D9B2380" w:rsidR="009E143A" w:rsidRPr="00960D62" w:rsidRDefault="003222DA" w:rsidP="00537BF7">
      <w:pPr>
        <w:jc w:val="both"/>
        <w:rPr>
          <w:rFonts w:ascii="Aptos Display" w:hAnsi="Aptos Display"/>
          <w:b/>
          <w:bCs/>
        </w:rPr>
      </w:pPr>
      <w:r w:rsidRPr="00960D62">
        <w:rPr>
          <w:rFonts w:ascii="Aptos Display" w:hAnsi="Aptos Display"/>
          <w:b/>
          <w:bCs/>
        </w:rPr>
        <w:t>The largest</w:t>
      </w:r>
      <w:r w:rsidR="001043D1" w:rsidRPr="00960D62">
        <w:rPr>
          <w:rFonts w:ascii="Aptos Display" w:hAnsi="Aptos Display"/>
          <w:b/>
          <w:bCs/>
        </w:rPr>
        <w:t xml:space="preserve"> Concert Hall in Poland</w:t>
      </w:r>
    </w:p>
    <w:p w14:paraId="38E2F662" w14:textId="77777777" w:rsidR="00B433A3" w:rsidRPr="00960D62" w:rsidRDefault="00B433A3" w:rsidP="00DA1036">
      <w:pPr>
        <w:jc w:val="both"/>
        <w:rPr>
          <w:rFonts w:ascii="Aptos Display" w:hAnsi="Aptos Display"/>
        </w:rPr>
      </w:pPr>
      <w:r w:rsidRPr="00960D62">
        <w:rPr>
          <w:rFonts w:ascii="Aptos Display" w:hAnsi="Aptos Display"/>
        </w:rPr>
        <w:t>The second phase of the project focuses on building the main concert hall, which will seat 1,877 people and become the largest venue of its kind in the country. The design was developed in close collaboration with acousticians from Müller-BBM in Berlin and Eckhard Kahle Acoustics in Brussels. The hall’s unique form combines two classic typologies: the “shoebox” and the “vineyard”. Concentric, undulating rings of seating will surround the stage, located on level -1. The concert hall will be fully visible from the surrounding foyer, thanks to soaring glazed walls. This generous space will be open to the public, who will be free to explore the building and ascend to its highest levels. In addition to the main hall, the new complex will include a chamber hall seating around 400, rehearsal rooms, storage facilities, and full backstage and technical infrastructure.</w:t>
      </w:r>
    </w:p>
    <w:p w14:paraId="4C82DDB8" w14:textId="77777777" w:rsidR="00DA6315" w:rsidRPr="00960D62" w:rsidRDefault="00DA6315" w:rsidP="00537BF7">
      <w:pPr>
        <w:jc w:val="both"/>
        <w:rPr>
          <w:rFonts w:ascii="Aptos Display" w:hAnsi="Aptos Display"/>
        </w:rPr>
      </w:pPr>
      <w:r w:rsidRPr="00960D62">
        <w:rPr>
          <w:rFonts w:ascii="Aptos Display" w:hAnsi="Aptos Display"/>
        </w:rPr>
        <w:t>This phase will also include the restoration of two historic outbuildings on the northern side of the site, which will be integrated with the new structure.</w:t>
      </w:r>
    </w:p>
    <w:p w14:paraId="091FDB68" w14:textId="07016D32" w:rsidR="009E143A" w:rsidRPr="00960D62" w:rsidRDefault="000501EC" w:rsidP="00537BF7">
      <w:pPr>
        <w:jc w:val="both"/>
        <w:rPr>
          <w:rFonts w:ascii="Aptos Display" w:hAnsi="Aptos Display"/>
          <w:b/>
          <w:bCs/>
        </w:rPr>
      </w:pPr>
      <w:r w:rsidRPr="00960D62">
        <w:rPr>
          <w:rFonts w:ascii="Aptos Display" w:hAnsi="Aptos Display"/>
          <w:b/>
          <w:bCs/>
        </w:rPr>
        <w:lastRenderedPageBreak/>
        <w:t xml:space="preserve">In the meantime </w:t>
      </w:r>
      <w:r w:rsidR="008C0B27" w:rsidRPr="00960D62">
        <w:rPr>
          <w:rFonts w:ascii="Aptos Display" w:hAnsi="Aptos Display"/>
          <w:b/>
          <w:bCs/>
        </w:rPr>
        <w:t>–</w:t>
      </w:r>
      <w:r w:rsidR="00954B90" w:rsidRPr="00960D62">
        <w:rPr>
          <w:rFonts w:ascii="Aptos Display" w:hAnsi="Aptos Display"/>
          <w:b/>
          <w:bCs/>
        </w:rPr>
        <w:t xml:space="preserve"> 2026</w:t>
      </w:r>
    </w:p>
    <w:p w14:paraId="4088AB73" w14:textId="77777777" w:rsidR="00591D65" w:rsidRPr="00960D62" w:rsidRDefault="00591D65" w:rsidP="003858B7">
      <w:pPr>
        <w:rPr>
          <w:rFonts w:ascii="Aptos Display" w:hAnsi="Aptos Display"/>
        </w:rPr>
      </w:pPr>
      <w:r w:rsidRPr="00960D62">
        <w:rPr>
          <w:rFonts w:ascii="Aptos Display" w:hAnsi="Aptos Display"/>
        </w:rPr>
        <w:t xml:space="preserve">The first phase of the project, involving the renovation of three historic buildings at 272 Grochowska Street, is set to conclude at the turn of 2025 and 2026. From next year, audiences will be able to visit Sinfonia </w:t>
      </w:r>
      <w:proofErr w:type="spellStart"/>
      <w:r w:rsidRPr="00960D62">
        <w:rPr>
          <w:rFonts w:ascii="Aptos Display" w:hAnsi="Aptos Display"/>
        </w:rPr>
        <w:t>Varsovia’s</w:t>
      </w:r>
      <w:proofErr w:type="spellEnd"/>
      <w:r w:rsidRPr="00960D62">
        <w:rPr>
          <w:rFonts w:ascii="Aptos Display" w:hAnsi="Aptos Display"/>
        </w:rPr>
        <w:t xml:space="preserve"> new intimate concert spaces and educational rooms, located in the Palace, the Western Pavilion and the Music Pavilion on Grochowska Street. With the opening of these new premises, Sinfonia </w:t>
      </w:r>
      <w:proofErr w:type="spellStart"/>
      <w:r w:rsidRPr="00960D62">
        <w:rPr>
          <w:rFonts w:ascii="Aptos Display" w:hAnsi="Aptos Display"/>
        </w:rPr>
        <w:t>Varsovia</w:t>
      </w:r>
      <w:proofErr w:type="spellEnd"/>
      <w:r w:rsidRPr="00960D62">
        <w:rPr>
          <w:rFonts w:ascii="Aptos Display" w:hAnsi="Aptos Display"/>
        </w:rPr>
        <w:t xml:space="preserve"> will begin operating on the basis of regular concert seasons. Until the main hall is completed, programming will focus primarily on chamber music and educational activity.</w:t>
      </w:r>
    </w:p>
    <w:p w14:paraId="126F7FA9" w14:textId="2B2EF717" w:rsidR="005F76D5" w:rsidRPr="00960D62" w:rsidRDefault="00591D65" w:rsidP="003858B7">
      <w:pPr>
        <w:rPr>
          <w:rFonts w:ascii="Aptos Display" w:hAnsi="Aptos Display"/>
        </w:rPr>
      </w:pPr>
      <w:r w:rsidRPr="00960D62">
        <w:rPr>
          <w:rFonts w:ascii="Aptos Display" w:hAnsi="Aptos Display"/>
          <w:b/>
          <w:bCs/>
        </w:rPr>
        <w:t>About</w:t>
      </w:r>
      <w:r w:rsidR="003858B7" w:rsidRPr="00960D62">
        <w:rPr>
          <w:rFonts w:ascii="Aptos Display" w:hAnsi="Aptos Display"/>
          <w:b/>
          <w:bCs/>
        </w:rPr>
        <w:t xml:space="preserve"> Sinfoni</w:t>
      </w:r>
      <w:r w:rsidRPr="00960D62">
        <w:rPr>
          <w:rFonts w:ascii="Aptos Display" w:hAnsi="Aptos Display"/>
          <w:b/>
          <w:bCs/>
        </w:rPr>
        <w:t>a</w:t>
      </w:r>
      <w:r w:rsidR="003858B7" w:rsidRPr="00960D62">
        <w:rPr>
          <w:rFonts w:ascii="Aptos Display" w:hAnsi="Aptos Display"/>
          <w:b/>
          <w:bCs/>
        </w:rPr>
        <w:t xml:space="preserve"> </w:t>
      </w:r>
      <w:proofErr w:type="spellStart"/>
      <w:r w:rsidR="003858B7" w:rsidRPr="00960D62">
        <w:rPr>
          <w:rFonts w:ascii="Aptos Display" w:hAnsi="Aptos Display"/>
          <w:b/>
          <w:bCs/>
        </w:rPr>
        <w:t>Varsovi</w:t>
      </w:r>
      <w:r w:rsidRPr="00960D62">
        <w:rPr>
          <w:rFonts w:ascii="Aptos Display" w:hAnsi="Aptos Display"/>
          <w:b/>
          <w:bCs/>
        </w:rPr>
        <w:t>a</w:t>
      </w:r>
      <w:proofErr w:type="spellEnd"/>
    </w:p>
    <w:p w14:paraId="00212DDA" w14:textId="77777777" w:rsidR="00E2742E" w:rsidRPr="00960D62" w:rsidRDefault="004D0575" w:rsidP="006F48E0">
      <w:pPr>
        <w:jc w:val="both"/>
        <w:rPr>
          <w:rFonts w:ascii="Aptos Display" w:hAnsi="Aptos Display"/>
        </w:rPr>
      </w:pPr>
      <w:r w:rsidRPr="00960D62">
        <w:rPr>
          <w:rFonts w:ascii="Aptos Display" w:hAnsi="Aptos Display"/>
        </w:rPr>
        <w:t xml:space="preserve">Sinfonia </w:t>
      </w:r>
      <w:proofErr w:type="spellStart"/>
      <w:r w:rsidRPr="00960D62">
        <w:rPr>
          <w:rFonts w:ascii="Aptos Display" w:hAnsi="Aptos Display"/>
        </w:rPr>
        <w:t>Varsovia</w:t>
      </w:r>
      <w:proofErr w:type="spellEnd"/>
      <w:r w:rsidRPr="00960D62">
        <w:rPr>
          <w:rFonts w:ascii="Aptos Display" w:hAnsi="Aptos Display"/>
        </w:rPr>
        <w:t xml:space="preserve"> is a cultural institution of the City of Warsaw. At its artistic core is the internationally acclaimed symphony orchestra of the same name. The institution offers a broad spectrum of high-level artistic activity – including symphonic and chamber concerts, recitals, and a wide range of initiatives aimed at bringing music, in all its diversity, to the widest possible audience. </w:t>
      </w:r>
      <w:r w:rsidR="006F48E0" w:rsidRPr="00960D62">
        <w:rPr>
          <w:rFonts w:ascii="Aptos Display" w:hAnsi="Aptos Display"/>
        </w:rPr>
        <w:t xml:space="preserve">The orchestra organises numerous educational concerts and workshop-style activities for young listeners, including </w:t>
      </w:r>
      <w:proofErr w:type="spellStart"/>
      <w:r w:rsidR="006F48E0" w:rsidRPr="00960D62">
        <w:rPr>
          <w:rFonts w:ascii="Aptos Display" w:hAnsi="Aptos Display"/>
          <w:i/>
          <w:iCs/>
        </w:rPr>
        <w:t>Smykofonia</w:t>
      </w:r>
      <w:proofErr w:type="spellEnd"/>
      <w:r w:rsidR="006F48E0" w:rsidRPr="00960D62">
        <w:rPr>
          <w:rFonts w:ascii="Aptos Display" w:hAnsi="Aptos Display"/>
          <w:i/>
          <w:iCs/>
        </w:rPr>
        <w:t xml:space="preserve"> </w:t>
      </w:r>
      <w:proofErr w:type="spellStart"/>
      <w:r w:rsidR="006F48E0" w:rsidRPr="00960D62">
        <w:rPr>
          <w:rFonts w:ascii="Aptos Display" w:hAnsi="Aptos Display"/>
          <w:i/>
          <w:iCs/>
        </w:rPr>
        <w:t>na</w:t>
      </w:r>
      <w:proofErr w:type="spellEnd"/>
      <w:r w:rsidR="006F48E0" w:rsidRPr="00960D62">
        <w:rPr>
          <w:rFonts w:ascii="Aptos Display" w:hAnsi="Aptos Display"/>
          <w:i/>
          <w:iCs/>
        </w:rPr>
        <w:t xml:space="preserve"> </w:t>
      </w:r>
      <w:proofErr w:type="spellStart"/>
      <w:r w:rsidR="006F48E0" w:rsidRPr="00960D62">
        <w:rPr>
          <w:rFonts w:ascii="Aptos Display" w:hAnsi="Aptos Display"/>
          <w:i/>
          <w:iCs/>
        </w:rPr>
        <w:t>Grochowskiej</w:t>
      </w:r>
      <w:proofErr w:type="spellEnd"/>
      <w:r w:rsidR="006F48E0" w:rsidRPr="00960D62">
        <w:rPr>
          <w:rFonts w:ascii="Aptos Display" w:hAnsi="Aptos Display"/>
        </w:rPr>
        <w:t xml:space="preserve"> and </w:t>
      </w:r>
      <w:r w:rsidR="006F48E0" w:rsidRPr="00960D62">
        <w:rPr>
          <w:rFonts w:ascii="Aptos Display" w:hAnsi="Aptos Display"/>
          <w:i/>
          <w:iCs/>
        </w:rPr>
        <w:t xml:space="preserve">Mornings with </w:t>
      </w:r>
      <w:proofErr w:type="spellStart"/>
      <w:r w:rsidR="006F48E0" w:rsidRPr="00960D62">
        <w:rPr>
          <w:rFonts w:ascii="Aptos Display" w:hAnsi="Aptos Display"/>
          <w:i/>
          <w:iCs/>
        </w:rPr>
        <w:t>Bazylek</w:t>
      </w:r>
      <w:proofErr w:type="spellEnd"/>
      <w:r w:rsidR="006F48E0" w:rsidRPr="00960D62">
        <w:rPr>
          <w:rFonts w:ascii="Aptos Display" w:hAnsi="Aptos Display"/>
          <w:i/>
          <w:iCs/>
        </w:rPr>
        <w:t xml:space="preserve"> the Dragon</w:t>
      </w:r>
      <w:r w:rsidR="006F48E0" w:rsidRPr="00960D62">
        <w:rPr>
          <w:rFonts w:ascii="Aptos Display" w:hAnsi="Aptos Display"/>
        </w:rPr>
        <w:t xml:space="preserve">. It also reaches audiences of all ages with its popular community dance events. Sinfonia </w:t>
      </w:r>
      <w:proofErr w:type="spellStart"/>
      <w:r w:rsidR="006F48E0" w:rsidRPr="00960D62">
        <w:rPr>
          <w:rFonts w:ascii="Aptos Display" w:hAnsi="Aptos Display"/>
        </w:rPr>
        <w:t>Varsovia’s</w:t>
      </w:r>
      <w:proofErr w:type="spellEnd"/>
      <w:r w:rsidR="006F48E0" w:rsidRPr="00960D62">
        <w:rPr>
          <w:rFonts w:ascii="Aptos Display" w:hAnsi="Aptos Display"/>
        </w:rPr>
        <w:t xml:space="preserve"> two flagship festivals – </w:t>
      </w:r>
      <w:r w:rsidR="006F48E0" w:rsidRPr="00960D62">
        <w:rPr>
          <w:rFonts w:ascii="Aptos Display" w:hAnsi="Aptos Display"/>
          <w:i/>
          <w:iCs/>
        </w:rPr>
        <w:t xml:space="preserve">La Folle </w:t>
      </w:r>
      <w:proofErr w:type="spellStart"/>
      <w:r w:rsidR="006F48E0" w:rsidRPr="00960D62">
        <w:rPr>
          <w:rFonts w:ascii="Aptos Display" w:hAnsi="Aptos Display"/>
          <w:i/>
          <w:iCs/>
        </w:rPr>
        <w:t>Journée</w:t>
      </w:r>
      <w:proofErr w:type="spellEnd"/>
      <w:r w:rsidR="006F48E0" w:rsidRPr="00960D62">
        <w:rPr>
          <w:rFonts w:ascii="Aptos Display" w:hAnsi="Aptos Display"/>
          <w:i/>
          <w:iCs/>
        </w:rPr>
        <w:t xml:space="preserve"> de </w:t>
      </w:r>
      <w:proofErr w:type="spellStart"/>
      <w:r w:rsidR="006F48E0" w:rsidRPr="00960D62">
        <w:rPr>
          <w:rFonts w:ascii="Aptos Display" w:hAnsi="Aptos Display"/>
          <w:i/>
          <w:iCs/>
        </w:rPr>
        <w:t>Varsovie</w:t>
      </w:r>
      <w:proofErr w:type="spellEnd"/>
      <w:r w:rsidR="006F48E0" w:rsidRPr="00960D62">
        <w:rPr>
          <w:rFonts w:ascii="Aptos Display" w:hAnsi="Aptos Display"/>
        </w:rPr>
        <w:t xml:space="preserve"> and the </w:t>
      </w:r>
      <w:r w:rsidR="006F48E0" w:rsidRPr="00960D62">
        <w:rPr>
          <w:rFonts w:ascii="Aptos Display" w:hAnsi="Aptos Display"/>
          <w:i/>
          <w:iCs/>
        </w:rPr>
        <w:t xml:space="preserve">Franciszek </w:t>
      </w:r>
      <w:proofErr w:type="spellStart"/>
      <w:r w:rsidR="006F48E0" w:rsidRPr="00960D62">
        <w:rPr>
          <w:rFonts w:ascii="Aptos Display" w:hAnsi="Aptos Display"/>
          <w:i/>
          <w:iCs/>
        </w:rPr>
        <w:t>Wybrańczyk</w:t>
      </w:r>
      <w:proofErr w:type="spellEnd"/>
      <w:r w:rsidR="006F48E0" w:rsidRPr="00960D62">
        <w:rPr>
          <w:rFonts w:ascii="Aptos Display" w:hAnsi="Aptos Display"/>
          <w:i/>
          <w:iCs/>
        </w:rPr>
        <w:t xml:space="preserve"> Festival Sinfonia </w:t>
      </w:r>
      <w:proofErr w:type="spellStart"/>
      <w:r w:rsidR="006F48E0" w:rsidRPr="00960D62">
        <w:rPr>
          <w:rFonts w:ascii="Aptos Display" w:hAnsi="Aptos Display"/>
          <w:i/>
          <w:iCs/>
        </w:rPr>
        <w:t>Varsovia</w:t>
      </w:r>
      <w:proofErr w:type="spellEnd"/>
      <w:r w:rsidR="006F48E0" w:rsidRPr="00960D62">
        <w:rPr>
          <w:rFonts w:ascii="Aptos Display" w:hAnsi="Aptos Display"/>
          <w:i/>
          <w:iCs/>
        </w:rPr>
        <w:t xml:space="preserve"> to Its City</w:t>
      </w:r>
      <w:r w:rsidR="006F48E0" w:rsidRPr="00960D62">
        <w:rPr>
          <w:rFonts w:ascii="Aptos Display" w:hAnsi="Aptos Display"/>
        </w:rPr>
        <w:t xml:space="preserve"> – are key features of Warsaw’s musical life. The institution also supports the next generation of orchestral musicians through its Sinfonia </w:t>
      </w:r>
      <w:proofErr w:type="spellStart"/>
      <w:r w:rsidR="006F48E0" w:rsidRPr="00960D62">
        <w:rPr>
          <w:rFonts w:ascii="Aptos Display" w:hAnsi="Aptos Display"/>
        </w:rPr>
        <w:t>Varsovia</w:t>
      </w:r>
      <w:proofErr w:type="spellEnd"/>
      <w:r w:rsidR="006F48E0" w:rsidRPr="00960D62">
        <w:rPr>
          <w:rFonts w:ascii="Aptos Display" w:hAnsi="Aptos Display"/>
        </w:rPr>
        <w:t xml:space="preserve"> Academy, founded in 2012.</w:t>
      </w:r>
    </w:p>
    <w:p w14:paraId="7141D701" w14:textId="5870F2D8" w:rsidR="0011332B" w:rsidRPr="00B12CAA" w:rsidRDefault="0011332B" w:rsidP="00E2742E">
      <w:pPr>
        <w:jc w:val="center"/>
        <w:rPr>
          <w:rFonts w:ascii="Aptos Display" w:hAnsi="Aptos Display"/>
        </w:rPr>
      </w:pPr>
      <w:r w:rsidRPr="00B12CAA">
        <w:rPr>
          <w:rFonts w:ascii="Aptos Display" w:hAnsi="Aptos Display"/>
        </w:rPr>
        <w:t>***</w:t>
      </w:r>
    </w:p>
    <w:p w14:paraId="1BA17CC3" w14:textId="358C2050" w:rsidR="004979A1" w:rsidRPr="00B12CAA" w:rsidRDefault="0004509D" w:rsidP="00537BF7">
      <w:pPr>
        <w:spacing w:after="0"/>
        <w:jc w:val="both"/>
        <w:rPr>
          <w:rFonts w:ascii="Aptos Display" w:hAnsi="Aptos Display"/>
          <w:b/>
          <w:bCs/>
          <w:sz w:val="20"/>
          <w:szCs w:val="20"/>
        </w:rPr>
      </w:pPr>
      <w:r w:rsidRPr="00B12CAA">
        <w:rPr>
          <w:rFonts w:ascii="Aptos Display" w:hAnsi="Aptos Display"/>
          <w:b/>
          <w:bCs/>
          <w:sz w:val="20"/>
          <w:szCs w:val="20"/>
        </w:rPr>
        <w:t>Media contact</w:t>
      </w:r>
      <w:r w:rsidR="004979A1" w:rsidRPr="00B12CAA">
        <w:rPr>
          <w:rFonts w:ascii="Aptos Display" w:hAnsi="Aptos Display"/>
          <w:b/>
          <w:bCs/>
          <w:sz w:val="20"/>
          <w:szCs w:val="20"/>
        </w:rPr>
        <w:t>:</w:t>
      </w:r>
    </w:p>
    <w:p w14:paraId="1D3C0787" w14:textId="4EB0B7D9" w:rsidR="004979A1" w:rsidRPr="00B12CAA" w:rsidRDefault="0004509D" w:rsidP="00537BF7">
      <w:pPr>
        <w:spacing w:after="0"/>
        <w:jc w:val="both"/>
        <w:rPr>
          <w:rFonts w:ascii="Aptos Display" w:hAnsi="Aptos Display"/>
          <w:sz w:val="20"/>
          <w:szCs w:val="20"/>
        </w:rPr>
      </w:pPr>
      <w:r w:rsidRPr="00B12CAA">
        <w:rPr>
          <w:rFonts w:ascii="Aptos Display" w:hAnsi="Aptos Display"/>
          <w:sz w:val="20"/>
          <w:szCs w:val="20"/>
        </w:rPr>
        <w:t>Florent de Bazelaire</w:t>
      </w:r>
    </w:p>
    <w:p w14:paraId="6DA1CB04" w14:textId="77777777" w:rsidR="00BE16F0" w:rsidRPr="00B12CAA" w:rsidRDefault="00BE16F0" w:rsidP="00537BF7">
      <w:pPr>
        <w:spacing w:after="0"/>
        <w:jc w:val="both"/>
        <w:rPr>
          <w:rFonts w:ascii="Aptos Display" w:hAnsi="Aptos Display"/>
          <w:sz w:val="20"/>
          <w:szCs w:val="20"/>
        </w:rPr>
      </w:pPr>
      <w:r w:rsidRPr="00B12CAA">
        <w:rPr>
          <w:rFonts w:ascii="Aptos Display" w:hAnsi="Aptos Display"/>
          <w:sz w:val="20"/>
          <w:szCs w:val="20"/>
        </w:rPr>
        <w:t>Senior Specialist, PR and International Relations</w:t>
      </w:r>
    </w:p>
    <w:p w14:paraId="3B3B78B7" w14:textId="77777777" w:rsidR="005C2022" w:rsidRPr="00B12CAA" w:rsidRDefault="005C2022" w:rsidP="00537BF7">
      <w:pPr>
        <w:spacing w:after="0"/>
        <w:jc w:val="both"/>
        <w:rPr>
          <w:rFonts w:ascii="Aptos Display" w:hAnsi="Aptos Display"/>
          <w:sz w:val="20"/>
          <w:szCs w:val="20"/>
        </w:rPr>
      </w:pPr>
      <w:r w:rsidRPr="00B12CAA">
        <w:rPr>
          <w:rFonts w:ascii="Aptos Display" w:hAnsi="Aptos Display"/>
          <w:sz w:val="20"/>
          <w:szCs w:val="20"/>
        </w:rPr>
        <w:t xml:space="preserve">Sinfonia </w:t>
      </w:r>
      <w:proofErr w:type="spellStart"/>
      <w:r w:rsidRPr="00B12CAA">
        <w:rPr>
          <w:rFonts w:ascii="Aptos Display" w:hAnsi="Aptos Display"/>
          <w:sz w:val="20"/>
          <w:szCs w:val="20"/>
        </w:rPr>
        <w:t>Varsovia</w:t>
      </w:r>
      <w:proofErr w:type="spellEnd"/>
      <w:r w:rsidRPr="00B12CAA">
        <w:rPr>
          <w:rFonts w:ascii="Aptos Display" w:hAnsi="Aptos Display"/>
          <w:sz w:val="20"/>
          <w:szCs w:val="20"/>
        </w:rPr>
        <w:t>, Marketing and Audience Services Department</w:t>
      </w:r>
    </w:p>
    <w:p w14:paraId="569EF658" w14:textId="42C53E92" w:rsidR="004979A1" w:rsidRPr="00B12CAA" w:rsidRDefault="005C2022" w:rsidP="005C2022">
      <w:pPr>
        <w:spacing w:after="0"/>
        <w:jc w:val="both"/>
        <w:rPr>
          <w:rFonts w:ascii="Aptos Display" w:hAnsi="Aptos Display"/>
          <w:sz w:val="20"/>
          <w:szCs w:val="20"/>
          <w:lang w:val="fr-FR"/>
        </w:rPr>
      </w:pPr>
      <w:r w:rsidRPr="00B12CAA">
        <w:rPr>
          <w:rFonts w:ascii="Aptos Display" w:hAnsi="Aptos Display"/>
          <w:sz w:val="20"/>
          <w:szCs w:val="20"/>
        </w:rPr>
        <w:t>florentyn.bazelaire@sinfoniavarsovia.org, tel. + 48 691 115 919</w:t>
      </w:r>
    </w:p>
    <w:sectPr w:rsidR="004979A1" w:rsidRPr="00B12CAA" w:rsidSect="00A91D95">
      <w:headerReference w:type="default" r:id="rId10"/>
      <w:footerReference w:type="default" r:id="rId11"/>
      <w:pgSz w:w="11906" w:h="16838"/>
      <w:pgMar w:top="1843"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31C8A" w14:textId="77777777" w:rsidR="00D9439A" w:rsidRPr="00960D62" w:rsidRDefault="00D9439A" w:rsidP="002E532B">
      <w:pPr>
        <w:spacing w:after="0" w:line="240" w:lineRule="auto"/>
      </w:pPr>
      <w:r w:rsidRPr="00960D62">
        <w:separator/>
      </w:r>
    </w:p>
  </w:endnote>
  <w:endnote w:type="continuationSeparator" w:id="0">
    <w:p w14:paraId="4237847A" w14:textId="77777777" w:rsidR="00D9439A" w:rsidRPr="00960D62" w:rsidRDefault="00D9439A" w:rsidP="002E532B">
      <w:pPr>
        <w:spacing w:after="0" w:line="240" w:lineRule="auto"/>
      </w:pPr>
      <w:r w:rsidRPr="00960D62">
        <w:continuationSeparator/>
      </w:r>
    </w:p>
  </w:endnote>
  <w:endnote w:type="continuationNotice" w:id="1">
    <w:p w14:paraId="0887AAF2" w14:textId="77777777" w:rsidR="00D9439A" w:rsidRPr="00960D62" w:rsidRDefault="00D943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4E2758C" w:rsidR="002E532B" w:rsidRPr="00960D62" w:rsidRDefault="00D106F0">
    <w:pPr>
      <w:pStyle w:val="Stopka"/>
    </w:pPr>
    <w:r w:rsidRPr="00960D62">
      <w:rPr>
        <w:noProof/>
      </w:rPr>
      <w:drawing>
        <wp:anchor distT="0" distB="0" distL="114300" distR="114300" simplePos="0" relativeHeight="251658246" behindDoc="0" locked="0" layoutInCell="1" allowOverlap="1" wp14:anchorId="25056D2A" wp14:editId="09A10AD2">
          <wp:simplePos x="0" y="0"/>
          <wp:positionH relativeFrom="margin">
            <wp:align>center</wp:align>
          </wp:positionH>
          <wp:positionV relativeFrom="paragraph">
            <wp:posOffset>-348615</wp:posOffset>
          </wp:positionV>
          <wp:extent cx="6887845" cy="947541"/>
          <wp:effectExtent l="0" t="0" r="8255" b="5080"/>
          <wp:wrapNone/>
          <wp:docPr id="2038783791"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7845" cy="947541"/>
                  </a:xfrm>
                  <a:prstGeom prst="rect">
                    <a:avLst/>
                  </a:prstGeom>
                  <a:noFill/>
                  <a:ln>
                    <a:noFill/>
                  </a:ln>
                </pic:spPr>
              </pic:pic>
            </a:graphicData>
          </a:graphic>
          <wp14:sizeRelH relativeFrom="margin">
            <wp14:pctWidth>0</wp14:pctWidth>
          </wp14:sizeRelH>
        </wp:anchor>
      </w:drawing>
    </w:r>
    <w:r w:rsidR="006706BD" w:rsidRPr="00960D62">
      <w:rPr>
        <w:noProof/>
      </w:rPr>
      <w:drawing>
        <wp:anchor distT="0" distB="0" distL="114300" distR="114300" simplePos="0" relativeHeight="251658245" behindDoc="0" locked="0" layoutInCell="1" allowOverlap="1" wp14:anchorId="42D40752" wp14:editId="6E86352C">
          <wp:simplePos x="0" y="0"/>
          <wp:positionH relativeFrom="column">
            <wp:posOffset>845820</wp:posOffset>
          </wp:positionH>
          <wp:positionV relativeFrom="paragraph">
            <wp:posOffset>9787890</wp:posOffset>
          </wp:positionV>
          <wp:extent cx="5760720" cy="789940"/>
          <wp:effectExtent l="0" t="0" r="0" b="0"/>
          <wp:wrapNone/>
          <wp:docPr id="165441556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sidRPr="00960D62">
      <w:rPr>
        <w:noProof/>
      </w:rPr>
      <w:drawing>
        <wp:anchor distT="0" distB="0" distL="114300" distR="114300" simplePos="0" relativeHeight="25165824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194383155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sidRPr="00960D62">
      <w:rPr>
        <w:noProof/>
      </w:rPr>
      <w:drawing>
        <wp:anchor distT="0" distB="0" distL="114300" distR="114300" simplePos="0" relativeHeight="251658243"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111601288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sidRPr="00960D62">
      <w:rPr>
        <w:noProof/>
      </w:rPr>
      <w:drawing>
        <wp:anchor distT="0" distB="0" distL="114300" distR="114300" simplePos="0" relativeHeight="251658242"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188343092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sidRPr="00960D62">
      <w:rPr>
        <w:noProof/>
      </w:rPr>
      <w:drawing>
        <wp:anchor distT="0" distB="0" distL="114300" distR="114300" simplePos="0" relativeHeight="251658241"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88198468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C7B31" w14:textId="77777777" w:rsidR="00D9439A" w:rsidRPr="00960D62" w:rsidRDefault="00D9439A" w:rsidP="002E532B">
      <w:pPr>
        <w:spacing w:after="0" w:line="240" w:lineRule="auto"/>
      </w:pPr>
      <w:r w:rsidRPr="00960D62">
        <w:separator/>
      </w:r>
    </w:p>
  </w:footnote>
  <w:footnote w:type="continuationSeparator" w:id="0">
    <w:p w14:paraId="3808F706" w14:textId="77777777" w:rsidR="00D9439A" w:rsidRPr="00960D62" w:rsidRDefault="00D9439A" w:rsidP="002E532B">
      <w:pPr>
        <w:spacing w:after="0" w:line="240" w:lineRule="auto"/>
      </w:pPr>
      <w:r w:rsidRPr="00960D62">
        <w:continuationSeparator/>
      </w:r>
    </w:p>
  </w:footnote>
  <w:footnote w:type="continuationNotice" w:id="1">
    <w:p w14:paraId="60EE351B" w14:textId="77777777" w:rsidR="00D9439A" w:rsidRPr="00960D62" w:rsidRDefault="00D943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162E12B5" w:rsidR="000B238B" w:rsidRPr="00960D62" w:rsidRDefault="007C708C">
    <w:pPr>
      <w:pStyle w:val="Nagwek"/>
    </w:pPr>
    <w:r w:rsidRPr="00960D62">
      <w:rPr>
        <w:noProof/>
      </w:rPr>
      <w:drawing>
        <wp:anchor distT="0" distB="0" distL="114300" distR="114300" simplePos="0" relativeHeight="251658240"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906710430"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238B" w:rsidRPr="00960D62">
      <w:softHyphen/>
    </w:r>
    <w:r w:rsidR="000B238B" w:rsidRPr="00960D62">
      <w:softHyphen/>
    </w:r>
  </w:p>
  <w:p w14:paraId="792B15B6" w14:textId="77777777" w:rsidR="000B238B" w:rsidRPr="00960D62" w:rsidRDefault="000B238B">
    <w:pPr>
      <w:pStyle w:val="Nagwek"/>
    </w:pPr>
  </w:p>
  <w:p w14:paraId="4A1A2749" w14:textId="77777777" w:rsidR="002E532B" w:rsidRPr="00960D62" w:rsidRDefault="002E532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01804"/>
    <w:rsid w:val="00005500"/>
    <w:rsid w:val="00032B67"/>
    <w:rsid w:val="0004509D"/>
    <w:rsid w:val="000501EC"/>
    <w:rsid w:val="0005361D"/>
    <w:rsid w:val="0005417F"/>
    <w:rsid w:val="00057484"/>
    <w:rsid w:val="000632A2"/>
    <w:rsid w:val="00067E8E"/>
    <w:rsid w:val="000742C3"/>
    <w:rsid w:val="00082017"/>
    <w:rsid w:val="00084617"/>
    <w:rsid w:val="00091B92"/>
    <w:rsid w:val="000924B4"/>
    <w:rsid w:val="000B0E91"/>
    <w:rsid w:val="000B238B"/>
    <w:rsid w:val="000B320A"/>
    <w:rsid w:val="000B5B5B"/>
    <w:rsid w:val="000B629E"/>
    <w:rsid w:val="000D03BA"/>
    <w:rsid w:val="000D2280"/>
    <w:rsid w:val="000D3177"/>
    <w:rsid w:val="000D7D3F"/>
    <w:rsid w:val="000E04CC"/>
    <w:rsid w:val="000E6BB8"/>
    <w:rsid w:val="001043D1"/>
    <w:rsid w:val="00104B91"/>
    <w:rsid w:val="0011332B"/>
    <w:rsid w:val="00123410"/>
    <w:rsid w:val="00134592"/>
    <w:rsid w:val="001411A5"/>
    <w:rsid w:val="00161A29"/>
    <w:rsid w:val="001648EF"/>
    <w:rsid w:val="00176ADD"/>
    <w:rsid w:val="0018451C"/>
    <w:rsid w:val="0018585C"/>
    <w:rsid w:val="00187AEE"/>
    <w:rsid w:val="00192067"/>
    <w:rsid w:val="001957E2"/>
    <w:rsid w:val="001A3077"/>
    <w:rsid w:val="001B764D"/>
    <w:rsid w:val="001C1712"/>
    <w:rsid w:val="001C4B40"/>
    <w:rsid w:val="001D4050"/>
    <w:rsid w:val="001D495B"/>
    <w:rsid w:val="001E2129"/>
    <w:rsid w:val="001E2DAD"/>
    <w:rsid w:val="001E637F"/>
    <w:rsid w:val="001F68AE"/>
    <w:rsid w:val="002049F8"/>
    <w:rsid w:val="00217316"/>
    <w:rsid w:val="00227100"/>
    <w:rsid w:val="0023659A"/>
    <w:rsid w:val="00240B1E"/>
    <w:rsid w:val="00250119"/>
    <w:rsid w:val="00256630"/>
    <w:rsid w:val="002636A9"/>
    <w:rsid w:val="002641D3"/>
    <w:rsid w:val="00267DF9"/>
    <w:rsid w:val="002749B3"/>
    <w:rsid w:val="00275C18"/>
    <w:rsid w:val="002A0A8C"/>
    <w:rsid w:val="002A47A8"/>
    <w:rsid w:val="002C4D58"/>
    <w:rsid w:val="002D0C78"/>
    <w:rsid w:val="002D5915"/>
    <w:rsid w:val="002D5BE1"/>
    <w:rsid w:val="002E532B"/>
    <w:rsid w:val="002F46F5"/>
    <w:rsid w:val="002F4A4A"/>
    <w:rsid w:val="002F799E"/>
    <w:rsid w:val="00310802"/>
    <w:rsid w:val="003222DA"/>
    <w:rsid w:val="00327D3C"/>
    <w:rsid w:val="00337483"/>
    <w:rsid w:val="00343F13"/>
    <w:rsid w:val="003513ED"/>
    <w:rsid w:val="00354A9A"/>
    <w:rsid w:val="00357E6E"/>
    <w:rsid w:val="0036020D"/>
    <w:rsid w:val="003858B7"/>
    <w:rsid w:val="003917C6"/>
    <w:rsid w:val="003A1B3F"/>
    <w:rsid w:val="003A7DAA"/>
    <w:rsid w:val="003B00D5"/>
    <w:rsid w:val="003B030C"/>
    <w:rsid w:val="003D07BA"/>
    <w:rsid w:val="003D1556"/>
    <w:rsid w:val="003F0CFE"/>
    <w:rsid w:val="003F33F5"/>
    <w:rsid w:val="004112A3"/>
    <w:rsid w:val="00411611"/>
    <w:rsid w:val="00421912"/>
    <w:rsid w:val="004555D6"/>
    <w:rsid w:val="00464EBD"/>
    <w:rsid w:val="00465C78"/>
    <w:rsid w:val="00487886"/>
    <w:rsid w:val="00492A62"/>
    <w:rsid w:val="004979A1"/>
    <w:rsid w:val="004B454D"/>
    <w:rsid w:val="004B49A9"/>
    <w:rsid w:val="004C242B"/>
    <w:rsid w:val="004C6680"/>
    <w:rsid w:val="004D0575"/>
    <w:rsid w:val="004F3913"/>
    <w:rsid w:val="00524DF8"/>
    <w:rsid w:val="00524FFA"/>
    <w:rsid w:val="00534E40"/>
    <w:rsid w:val="00537BF7"/>
    <w:rsid w:val="0054067F"/>
    <w:rsid w:val="00542855"/>
    <w:rsid w:val="00553776"/>
    <w:rsid w:val="00555919"/>
    <w:rsid w:val="005643A5"/>
    <w:rsid w:val="005661A9"/>
    <w:rsid w:val="005718FF"/>
    <w:rsid w:val="005727E7"/>
    <w:rsid w:val="005747B9"/>
    <w:rsid w:val="005758F5"/>
    <w:rsid w:val="00581F82"/>
    <w:rsid w:val="00591D65"/>
    <w:rsid w:val="005A0F93"/>
    <w:rsid w:val="005A36BD"/>
    <w:rsid w:val="005A3D25"/>
    <w:rsid w:val="005B1656"/>
    <w:rsid w:val="005C2022"/>
    <w:rsid w:val="005D3954"/>
    <w:rsid w:val="005D7142"/>
    <w:rsid w:val="005E0DDE"/>
    <w:rsid w:val="005F01AE"/>
    <w:rsid w:val="005F1481"/>
    <w:rsid w:val="005F30B7"/>
    <w:rsid w:val="005F76D5"/>
    <w:rsid w:val="006158F7"/>
    <w:rsid w:val="00657C9F"/>
    <w:rsid w:val="006706BD"/>
    <w:rsid w:val="006720CD"/>
    <w:rsid w:val="00680B03"/>
    <w:rsid w:val="00684039"/>
    <w:rsid w:val="006848A0"/>
    <w:rsid w:val="006872CF"/>
    <w:rsid w:val="006954AB"/>
    <w:rsid w:val="006969B6"/>
    <w:rsid w:val="006A766E"/>
    <w:rsid w:val="006B13F0"/>
    <w:rsid w:val="006B1E07"/>
    <w:rsid w:val="006B48A2"/>
    <w:rsid w:val="006D0508"/>
    <w:rsid w:val="006F48E0"/>
    <w:rsid w:val="007007CE"/>
    <w:rsid w:val="00703BE6"/>
    <w:rsid w:val="00707912"/>
    <w:rsid w:val="00750CB4"/>
    <w:rsid w:val="007513E8"/>
    <w:rsid w:val="007566F9"/>
    <w:rsid w:val="00770BAD"/>
    <w:rsid w:val="007909DD"/>
    <w:rsid w:val="00791451"/>
    <w:rsid w:val="007966C4"/>
    <w:rsid w:val="007A0AA5"/>
    <w:rsid w:val="007A4472"/>
    <w:rsid w:val="007A676B"/>
    <w:rsid w:val="007B3198"/>
    <w:rsid w:val="007C0E6E"/>
    <w:rsid w:val="007C708C"/>
    <w:rsid w:val="007D0567"/>
    <w:rsid w:val="007D2652"/>
    <w:rsid w:val="007D5CB5"/>
    <w:rsid w:val="007E055B"/>
    <w:rsid w:val="007E2F3F"/>
    <w:rsid w:val="00804BBA"/>
    <w:rsid w:val="008115DB"/>
    <w:rsid w:val="0081501A"/>
    <w:rsid w:val="00836AA9"/>
    <w:rsid w:val="008375EA"/>
    <w:rsid w:val="00861547"/>
    <w:rsid w:val="008770E2"/>
    <w:rsid w:val="00880782"/>
    <w:rsid w:val="00881766"/>
    <w:rsid w:val="008C0B27"/>
    <w:rsid w:val="008C4519"/>
    <w:rsid w:val="008C5C0A"/>
    <w:rsid w:val="008D1174"/>
    <w:rsid w:val="008F723F"/>
    <w:rsid w:val="0090132B"/>
    <w:rsid w:val="00913402"/>
    <w:rsid w:val="00915C5E"/>
    <w:rsid w:val="009278B3"/>
    <w:rsid w:val="00931CA7"/>
    <w:rsid w:val="009377E7"/>
    <w:rsid w:val="009423BE"/>
    <w:rsid w:val="00954B90"/>
    <w:rsid w:val="00960D62"/>
    <w:rsid w:val="009627DD"/>
    <w:rsid w:val="00976905"/>
    <w:rsid w:val="00991B2B"/>
    <w:rsid w:val="0099638C"/>
    <w:rsid w:val="009A49B6"/>
    <w:rsid w:val="009B5370"/>
    <w:rsid w:val="009B5FDE"/>
    <w:rsid w:val="009C6AFA"/>
    <w:rsid w:val="009E143A"/>
    <w:rsid w:val="009F4696"/>
    <w:rsid w:val="00A267FD"/>
    <w:rsid w:val="00A510D5"/>
    <w:rsid w:val="00A63071"/>
    <w:rsid w:val="00A76BB6"/>
    <w:rsid w:val="00A875E4"/>
    <w:rsid w:val="00A900C0"/>
    <w:rsid w:val="00A91D95"/>
    <w:rsid w:val="00AC2B7F"/>
    <w:rsid w:val="00AD1608"/>
    <w:rsid w:val="00AD7D85"/>
    <w:rsid w:val="00AE17CB"/>
    <w:rsid w:val="00AF729C"/>
    <w:rsid w:val="00B12CAA"/>
    <w:rsid w:val="00B136D4"/>
    <w:rsid w:val="00B22987"/>
    <w:rsid w:val="00B247E9"/>
    <w:rsid w:val="00B433A3"/>
    <w:rsid w:val="00B57C5D"/>
    <w:rsid w:val="00B57F04"/>
    <w:rsid w:val="00B61642"/>
    <w:rsid w:val="00B85293"/>
    <w:rsid w:val="00BA1D3D"/>
    <w:rsid w:val="00BA6622"/>
    <w:rsid w:val="00BA6B48"/>
    <w:rsid w:val="00BC6FF3"/>
    <w:rsid w:val="00BD4E80"/>
    <w:rsid w:val="00BD7E4F"/>
    <w:rsid w:val="00BE16F0"/>
    <w:rsid w:val="00BE2D5A"/>
    <w:rsid w:val="00C00857"/>
    <w:rsid w:val="00C02774"/>
    <w:rsid w:val="00C0512F"/>
    <w:rsid w:val="00C13D0B"/>
    <w:rsid w:val="00C14707"/>
    <w:rsid w:val="00C14F23"/>
    <w:rsid w:val="00C16283"/>
    <w:rsid w:val="00C23FC2"/>
    <w:rsid w:val="00C31C56"/>
    <w:rsid w:val="00C321F9"/>
    <w:rsid w:val="00C33FF8"/>
    <w:rsid w:val="00C418F9"/>
    <w:rsid w:val="00C70FA9"/>
    <w:rsid w:val="00C85668"/>
    <w:rsid w:val="00CC349F"/>
    <w:rsid w:val="00CC648D"/>
    <w:rsid w:val="00CD66D3"/>
    <w:rsid w:val="00CE15F0"/>
    <w:rsid w:val="00CE1ACE"/>
    <w:rsid w:val="00D01C4B"/>
    <w:rsid w:val="00D051BC"/>
    <w:rsid w:val="00D0536B"/>
    <w:rsid w:val="00D106F0"/>
    <w:rsid w:val="00D12DEF"/>
    <w:rsid w:val="00D25167"/>
    <w:rsid w:val="00D322D7"/>
    <w:rsid w:val="00D4314A"/>
    <w:rsid w:val="00D44200"/>
    <w:rsid w:val="00D50959"/>
    <w:rsid w:val="00D52D3C"/>
    <w:rsid w:val="00D6017F"/>
    <w:rsid w:val="00D72F28"/>
    <w:rsid w:val="00D8276E"/>
    <w:rsid w:val="00D83F02"/>
    <w:rsid w:val="00D90714"/>
    <w:rsid w:val="00D9439A"/>
    <w:rsid w:val="00D94704"/>
    <w:rsid w:val="00D961E8"/>
    <w:rsid w:val="00DA1036"/>
    <w:rsid w:val="00DA1849"/>
    <w:rsid w:val="00DA4EF4"/>
    <w:rsid w:val="00DA6315"/>
    <w:rsid w:val="00DB5DE5"/>
    <w:rsid w:val="00DC08E2"/>
    <w:rsid w:val="00DC2BA2"/>
    <w:rsid w:val="00DC6D90"/>
    <w:rsid w:val="00DD75B4"/>
    <w:rsid w:val="00DD7FE7"/>
    <w:rsid w:val="00DE4BEC"/>
    <w:rsid w:val="00DF1A8A"/>
    <w:rsid w:val="00E0141F"/>
    <w:rsid w:val="00E03946"/>
    <w:rsid w:val="00E05715"/>
    <w:rsid w:val="00E06A8B"/>
    <w:rsid w:val="00E11321"/>
    <w:rsid w:val="00E11D87"/>
    <w:rsid w:val="00E2742E"/>
    <w:rsid w:val="00E36093"/>
    <w:rsid w:val="00E40D8E"/>
    <w:rsid w:val="00E63185"/>
    <w:rsid w:val="00E76E1F"/>
    <w:rsid w:val="00E77622"/>
    <w:rsid w:val="00E8048A"/>
    <w:rsid w:val="00E8687D"/>
    <w:rsid w:val="00EA6B48"/>
    <w:rsid w:val="00EB3AB4"/>
    <w:rsid w:val="00EC4E49"/>
    <w:rsid w:val="00EC7682"/>
    <w:rsid w:val="00EE11C3"/>
    <w:rsid w:val="00EE2023"/>
    <w:rsid w:val="00EE526D"/>
    <w:rsid w:val="00EE5B52"/>
    <w:rsid w:val="00EF0937"/>
    <w:rsid w:val="00EF142F"/>
    <w:rsid w:val="00EF7FE0"/>
    <w:rsid w:val="00F1002D"/>
    <w:rsid w:val="00F13825"/>
    <w:rsid w:val="00F14AF0"/>
    <w:rsid w:val="00F15E16"/>
    <w:rsid w:val="00F17D12"/>
    <w:rsid w:val="00F229C8"/>
    <w:rsid w:val="00F3784B"/>
    <w:rsid w:val="00F467C5"/>
    <w:rsid w:val="00F57CA4"/>
    <w:rsid w:val="00F7754A"/>
    <w:rsid w:val="00F80054"/>
    <w:rsid w:val="00F80323"/>
    <w:rsid w:val="00F92E13"/>
    <w:rsid w:val="00F94862"/>
    <w:rsid w:val="00F95C52"/>
    <w:rsid w:val="00FA2295"/>
    <w:rsid w:val="00FB4B50"/>
    <w:rsid w:val="00FC10CD"/>
    <w:rsid w:val="00FD3EC2"/>
    <w:rsid w:val="00FE169F"/>
    <w:rsid w:val="00FF0B0C"/>
    <w:rsid w:val="00FF650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45B3DC09-88CC-4048-8DF2-F117F7904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002D"/>
    <w:pPr>
      <w:spacing w:after="200" w:line="276" w:lineRule="auto"/>
    </w:pPr>
    <w:rPr>
      <w:rFonts w:ascii="Calibri" w:eastAsia="Calibri" w:hAnsi="Calibri" w:cs="Times New Roman"/>
      <w:kern w:val="0"/>
      <w:lang w:val="en-GB"/>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styleId="Nierozpoznanawzmianka">
    <w:name w:val="Unresolved Mention"/>
    <w:basedOn w:val="Domylnaczcionkaakapitu"/>
    <w:uiPriority w:val="99"/>
    <w:semiHidden/>
    <w:unhideWhenUsed/>
    <w:rsid w:val="00EE11C3"/>
    <w:rPr>
      <w:color w:val="605E5C"/>
      <w:shd w:val="clear" w:color="auto" w:fill="E1DFDD"/>
    </w:rPr>
  </w:style>
  <w:style w:type="paragraph" w:styleId="Nagwek">
    <w:name w:val="header"/>
    <w:basedOn w:val="Normalny"/>
    <w:link w:val="Nagwek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NagwekZnak">
    <w:name w:val="Nagłówek Znak"/>
    <w:basedOn w:val="Domylnaczcionkaakapitu"/>
    <w:link w:val="Nagwek"/>
    <w:uiPriority w:val="99"/>
    <w:rsid w:val="002E532B"/>
  </w:style>
  <w:style w:type="paragraph" w:styleId="Stopka">
    <w:name w:val="footer"/>
    <w:basedOn w:val="Normalny"/>
    <w:link w:val="Stopka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StopkaZnak">
    <w:name w:val="Stopka Znak"/>
    <w:basedOn w:val="Domylnaczcionkaakapitu"/>
    <w:link w:val="Stopka"/>
    <w:uiPriority w:val="99"/>
    <w:rsid w:val="002E532B"/>
  </w:style>
  <w:style w:type="paragraph" w:styleId="NormalnyWeb">
    <w:name w:val="Normal (Web)"/>
    <w:basedOn w:val="Normalny"/>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931CA7"/>
    <w:rPr>
      <w:sz w:val="16"/>
      <w:szCs w:val="16"/>
    </w:rPr>
  </w:style>
  <w:style w:type="paragraph" w:styleId="Tekstkomentarza">
    <w:name w:val="annotation text"/>
    <w:basedOn w:val="Normalny"/>
    <w:link w:val="TekstkomentarzaZnak"/>
    <w:uiPriority w:val="99"/>
    <w:unhideWhenUsed/>
    <w:rsid w:val="00931CA7"/>
    <w:pPr>
      <w:spacing w:after="160" w:line="240" w:lineRule="auto"/>
    </w:pPr>
    <w:rPr>
      <w:rFonts w:asciiTheme="minorHAnsi" w:eastAsiaTheme="minorHAnsi" w:hAnsiTheme="minorHAnsi" w:cstheme="minorBidi"/>
      <w:kern w:val="2"/>
      <w:sz w:val="20"/>
      <w:szCs w:val="20"/>
      <w14:ligatures w14:val="standardContextual"/>
    </w:rPr>
  </w:style>
  <w:style w:type="character" w:customStyle="1" w:styleId="TekstkomentarzaZnak">
    <w:name w:val="Tekst komentarza Znak"/>
    <w:basedOn w:val="Domylnaczcionkaakapitu"/>
    <w:link w:val="Tekstkomentarza"/>
    <w:uiPriority w:val="99"/>
    <w:rsid w:val="00931CA7"/>
    <w:rPr>
      <w:sz w:val="20"/>
      <w:szCs w:val="20"/>
    </w:rPr>
  </w:style>
  <w:style w:type="paragraph" w:styleId="Tekstprzypisukocowego">
    <w:name w:val="endnote text"/>
    <w:basedOn w:val="Normalny"/>
    <w:link w:val="TekstprzypisukocowegoZnak"/>
    <w:uiPriority w:val="99"/>
    <w:semiHidden/>
    <w:unhideWhenUsed/>
    <w:rsid w:val="005643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643A5"/>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5643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85691">
      <w:bodyDiv w:val="1"/>
      <w:marLeft w:val="0"/>
      <w:marRight w:val="0"/>
      <w:marTop w:val="0"/>
      <w:marBottom w:val="0"/>
      <w:divBdr>
        <w:top w:val="none" w:sz="0" w:space="0" w:color="auto"/>
        <w:left w:val="none" w:sz="0" w:space="0" w:color="auto"/>
        <w:bottom w:val="none" w:sz="0" w:space="0" w:color="auto"/>
        <w:right w:val="none" w:sz="0" w:space="0" w:color="auto"/>
      </w:divBdr>
    </w:div>
    <w:div w:id="282275431">
      <w:bodyDiv w:val="1"/>
      <w:marLeft w:val="0"/>
      <w:marRight w:val="0"/>
      <w:marTop w:val="0"/>
      <w:marBottom w:val="0"/>
      <w:divBdr>
        <w:top w:val="none" w:sz="0" w:space="0" w:color="auto"/>
        <w:left w:val="none" w:sz="0" w:space="0" w:color="auto"/>
        <w:bottom w:val="none" w:sz="0" w:space="0" w:color="auto"/>
        <w:right w:val="none" w:sz="0" w:space="0" w:color="auto"/>
      </w:divBdr>
    </w:div>
    <w:div w:id="434711819">
      <w:bodyDiv w:val="1"/>
      <w:marLeft w:val="0"/>
      <w:marRight w:val="0"/>
      <w:marTop w:val="0"/>
      <w:marBottom w:val="0"/>
      <w:divBdr>
        <w:top w:val="none" w:sz="0" w:space="0" w:color="auto"/>
        <w:left w:val="none" w:sz="0" w:space="0" w:color="auto"/>
        <w:bottom w:val="none" w:sz="0" w:space="0" w:color="auto"/>
        <w:right w:val="none" w:sz="0" w:space="0" w:color="auto"/>
      </w:divBdr>
    </w:div>
    <w:div w:id="986401021">
      <w:bodyDiv w:val="1"/>
      <w:marLeft w:val="0"/>
      <w:marRight w:val="0"/>
      <w:marTop w:val="0"/>
      <w:marBottom w:val="0"/>
      <w:divBdr>
        <w:top w:val="none" w:sz="0" w:space="0" w:color="auto"/>
        <w:left w:val="none" w:sz="0" w:space="0" w:color="auto"/>
        <w:bottom w:val="none" w:sz="0" w:space="0" w:color="auto"/>
        <w:right w:val="none" w:sz="0" w:space="0" w:color="auto"/>
      </w:divBdr>
    </w:div>
    <w:div w:id="1360937962">
      <w:bodyDiv w:val="1"/>
      <w:marLeft w:val="0"/>
      <w:marRight w:val="0"/>
      <w:marTop w:val="0"/>
      <w:marBottom w:val="0"/>
      <w:divBdr>
        <w:top w:val="none" w:sz="0" w:space="0" w:color="auto"/>
        <w:left w:val="none" w:sz="0" w:space="0" w:color="auto"/>
        <w:bottom w:val="none" w:sz="0" w:space="0" w:color="auto"/>
        <w:right w:val="none" w:sz="0" w:space="0" w:color="auto"/>
      </w:divBdr>
    </w:div>
    <w:div w:id="208819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6FDD13-97D2-46CB-B5B8-11BC1DE69891}">
  <ds:schemaRefs>
    <ds:schemaRef ds:uri="http://schemas.microsoft.com/sharepoint/v3/contenttype/forms"/>
  </ds:schemaRefs>
</ds:datastoreItem>
</file>

<file path=customXml/itemProps2.xml><?xml version="1.0" encoding="utf-8"?>
<ds:datastoreItem xmlns:ds="http://schemas.openxmlformats.org/officeDocument/2006/customXml" ds:itemID="{8B5CAAC2-6ED7-4843-9ECD-DD594EA52D99}">
  <ds:schemaRefs>
    <ds:schemaRef ds:uri="http://schemas.openxmlformats.org/officeDocument/2006/bibliography"/>
  </ds:schemaRefs>
</ds:datastoreItem>
</file>

<file path=customXml/itemProps3.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4.xml><?xml version="1.0" encoding="utf-8"?>
<ds:datastoreItem xmlns:ds="http://schemas.openxmlformats.org/officeDocument/2006/customXml" ds:itemID="{96A7DF87-71E7-40B4-9E98-52140792C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Pages>
  <Words>677</Words>
  <Characters>4065</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Michalska</dc:creator>
  <cp:keywords/>
  <dc:description/>
  <cp:lastModifiedBy>Adrianna Michalska</cp:lastModifiedBy>
  <cp:revision>227</cp:revision>
  <dcterms:created xsi:type="dcterms:W3CDTF">2025-04-22T12:26:00Z</dcterms:created>
  <dcterms:modified xsi:type="dcterms:W3CDTF">2025-05-13T08:13:00Z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